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C832" w14:textId="75C4EFAE" w:rsidR="00B10C26" w:rsidRDefault="00B10C26" w:rsidP="00E72EC1">
      <w:pPr>
        <w:jc w:val="both"/>
      </w:pPr>
    </w:p>
    <w:p w14:paraId="3F8FBD3A" w14:textId="77777777" w:rsidR="00B10C26" w:rsidRDefault="00B10C26" w:rsidP="00E72EC1">
      <w:pPr>
        <w:jc w:val="both"/>
        <w:rPr>
          <w:rFonts w:ascii="Neulis Alt" w:hAnsi="Neulis Alt" w:cs="Times New Roman"/>
          <w:b/>
          <w:bCs/>
          <w:color w:val="4EA72E" w:themeColor="accent6"/>
          <w:sz w:val="52"/>
          <w:szCs w:val="52"/>
        </w:rPr>
      </w:pPr>
      <w:r>
        <w:rPr>
          <w:noProof/>
        </w:rPr>
        <w:drawing>
          <wp:anchor distT="0" distB="0" distL="114300" distR="114300" simplePos="0" relativeHeight="251661312" behindDoc="1" locked="0" layoutInCell="1" allowOverlap="1" wp14:anchorId="33FD2483" wp14:editId="541DAEE6">
            <wp:simplePos x="0" y="0"/>
            <wp:positionH relativeFrom="margin">
              <wp:posOffset>3781425</wp:posOffset>
            </wp:positionH>
            <wp:positionV relativeFrom="paragraph">
              <wp:posOffset>8890</wp:posOffset>
            </wp:positionV>
            <wp:extent cx="1666875" cy="2015490"/>
            <wp:effectExtent l="0" t="0" r="9525" b="3810"/>
            <wp:wrapNone/>
            <wp:docPr id="962042020" name="Picture 3" descr="A logo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42020" name="Picture 3" descr="A logo of a mountai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5" cy="2015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030633A" wp14:editId="253AD18E">
            <wp:extent cx="1895475" cy="2103843"/>
            <wp:effectExtent l="0" t="0" r="0" b="0"/>
            <wp:docPr id="2060010378" name="Picture 3" descr="A white dog sitting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10378" name="Picture 3" descr="A white dog sitting on a blu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782" cy="2115283"/>
                    </a:xfrm>
                    <a:prstGeom prst="rect">
                      <a:avLst/>
                    </a:prstGeom>
                    <a:noFill/>
                    <a:ln>
                      <a:noFill/>
                    </a:ln>
                  </pic:spPr>
                </pic:pic>
              </a:graphicData>
            </a:graphic>
          </wp:inline>
        </w:drawing>
      </w:r>
      <w:r w:rsidRPr="00B10C26">
        <w:rPr>
          <w:rFonts w:ascii="Neulis Alt" w:hAnsi="Neulis Alt" w:cs="Times New Roman"/>
          <w:b/>
          <w:bCs/>
          <w:color w:val="4EA72E" w:themeColor="accent6"/>
          <w:sz w:val="52"/>
          <w:szCs w:val="52"/>
        </w:rPr>
        <w:t xml:space="preserve"> </w:t>
      </w:r>
    </w:p>
    <w:p w14:paraId="2C7633BE" w14:textId="77777777" w:rsidR="00B10C26" w:rsidRDefault="00B10C26" w:rsidP="00E72EC1">
      <w:pPr>
        <w:jc w:val="both"/>
        <w:rPr>
          <w:rFonts w:ascii="Neulis Alt" w:hAnsi="Neulis Alt" w:cs="Times New Roman"/>
          <w:b/>
          <w:bCs/>
          <w:color w:val="4EA72E" w:themeColor="accent6"/>
          <w:sz w:val="52"/>
          <w:szCs w:val="52"/>
        </w:rPr>
      </w:pPr>
    </w:p>
    <w:p w14:paraId="52B27D66" w14:textId="77777777" w:rsidR="00B10C26" w:rsidRDefault="00B10C26" w:rsidP="00E72EC1">
      <w:pPr>
        <w:jc w:val="both"/>
        <w:rPr>
          <w:rFonts w:ascii="Neulis Alt" w:hAnsi="Neulis Alt" w:cs="Times New Roman"/>
          <w:b/>
          <w:bCs/>
          <w:color w:val="4EA72E" w:themeColor="accent6"/>
          <w:sz w:val="52"/>
          <w:szCs w:val="52"/>
        </w:rPr>
      </w:pPr>
    </w:p>
    <w:p w14:paraId="1A8CEE99" w14:textId="77777777" w:rsidR="00B10C26" w:rsidRDefault="00B10C26" w:rsidP="00E72EC1">
      <w:pPr>
        <w:jc w:val="both"/>
        <w:rPr>
          <w:rFonts w:ascii="Neulis Alt" w:hAnsi="Neulis Alt" w:cs="Times New Roman"/>
          <w:b/>
          <w:bCs/>
          <w:color w:val="4EA72E" w:themeColor="accent6"/>
          <w:sz w:val="52"/>
          <w:szCs w:val="52"/>
        </w:rPr>
      </w:pPr>
    </w:p>
    <w:p w14:paraId="37298D49" w14:textId="77777777" w:rsidR="00B10C26" w:rsidRDefault="00B10C26" w:rsidP="00E72EC1">
      <w:pPr>
        <w:jc w:val="both"/>
        <w:rPr>
          <w:rFonts w:ascii="Neulis Alt" w:hAnsi="Neulis Alt" w:cs="Times New Roman"/>
          <w:b/>
          <w:bCs/>
          <w:color w:val="4EA72E" w:themeColor="accent6"/>
          <w:sz w:val="52"/>
          <w:szCs w:val="52"/>
        </w:rPr>
      </w:pPr>
    </w:p>
    <w:p w14:paraId="2A319512" w14:textId="77777777" w:rsidR="00B10C26" w:rsidRDefault="00B10C26" w:rsidP="00E72EC1">
      <w:pPr>
        <w:jc w:val="both"/>
        <w:rPr>
          <w:rFonts w:ascii="Neulis Alt" w:hAnsi="Neulis Alt" w:cs="Times New Roman"/>
          <w:b/>
          <w:bCs/>
          <w:color w:val="4EA72E" w:themeColor="accent6"/>
          <w:sz w:val="52"/>
          <w:szCs w:val="52"/>
        </w:rPr>
      </w:pPr>
    </w:p>
    <w:p w14:paraId="69C2EF2D" w14:textId="61E638EF" w:rsidR="00B10C26" w:rsidRPr="00BC048C" w:rsidRDefault="00B10C26" w:rsidP="00E72EC1">
      <w:pPr>
        <w:jc w:val="both"/>
        <w:rPr>
          <w:rFonts w:ascii="Neulis Alt" w:hAnsi="Neulis Alt" w:cs="Times New Roman"/>
          <w:b/>
          <w:bCs/>
          <w:color w:val="4EA72E" w:themeColor="accent6"/>
          <w:sz w:val="52"/>
          <w:szCs w:val="52"/>
        </w:rPr>
      </w:pPr>
      <w:r>
        <w:rPr>
          <w:rFonts w:ascii="Neulis Alt" w:hAnsi="Neulis Alt" w:cs="Times New Roman"/>
          <w:b/>
          <w:bCs/>
          <w:color w:val="4EA72E" w:themeColor="accent6"/>
          <w:sz w:val="52"/>
          <w:szCs w:val="52"/>
        </w:rPr>
        <w:t>Toolbox for Resilience Education</w:t>
      </w:r>
      <w:r w:rsidRPr="00BC048C">
        <w:rPr>
          <w:rFonts w:ascii="Neulis Alt" w:hAnsi="Neulis Alt" w:cs="Times New Roman"/>
          <w:b/>
          <w:bCs/>
          <w:color w:val="4EA72E" w:themeColor="accent6"/>
          <w:sz w:val="52"/>
          <w:szCs w:val="52"/>
        </w:rPr>
        <w:t xml:space="preserve">- </w:t>
      </w:r>
    </w:p>
    <w:p w14:paraId="765E8D47" w14:textId="61721004" w:rsidR="00B10C26" w:rsidRPr="00C24089" w:rsidRDefault="00B10C26" w:rsidP="00E72EC1">
      <w:pPr>
        <w:rPr>
          <w:rFonts w:ascii="Neulis Alt" w:hAnsi="Neulis Alt"/>
          <w:color w:val="156082" w:themeColor="accent1"/>
          <w:sz w:val="52"/>
          <w:szCs w:val="52"/>
        </w:rPr>
      </w:pPr>
      <w:r w:rsidRPr="00C24089">
        <w:rPr>
          <w:rFonts w:ascii="Neulis Alt" w:hAnsi="Neulis Alt"/>
          <w:color w:val="156082" w:themeColor="accent1"/>
          <w:sz w:val="52"/>
          <w:szCs w:val="52"/>
        </w:rPr>
        <w:t xml:space="preserve">Strengthening Farm </w:t>
      </w:r>
      <w:r>
        <w:rPr>
          <w:rFonts w:ascii="Neulis Alt" w:hAnsi="Neulis Alt"/>
          <w:color w:val="156082" w:themeColor="accent1"/>
          <w:sz w:val="52"/>
          <w:szCs w:val="52"/>
        </w:rPr>
        <w:t>Resilience in the Face of Adverse Events</w:t>
      </w:r>
    </w:p>
    <w:p w14:paraId="581C6B1A" w14:textId="245EC745" w:rsidR="00B10C26" w:rsidRDefault="00B10C26" w:rsidP="00E72EC1">
      <w:pPr>
        <w:jc w:val="both"/>
      </w:pPr>
      <w:r>
        <w:rPr>
          <w:noProof/>
        </w:rPr>
        <w:drawing>
          <wp:anchor distT="0" distB="0" distL="114300" distR="114300" simplePos="0" relativeHeight="251659264" behindDoc="1" locked="0" layoutInCell="1" allowOverlap="1" wp14:anchorId="6C4057E5" wp14:editId="71B4C7F1">
            <wp:simplePos x="0" y="0"/>
            <wp:positionH relativeFrom="margin">
              <wp:align>center</wp:align>
            </wp:positionH>
            <wp:positionV relativeFrom="margin">
              <wp:align>center</wp:align>
            </wp:positionV>
            <wp:extent cx="10330815" cy="7263286"/>
            <wp:effectExtent l="0" t="9207" r="4127" b="4128"/>
            <wp:wrapNone/>
            <wp:docPr id="1675570122" name="Picture 4" descr="A white surface with a black an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70122" name="Picture 4" descr="A white surface with a black and white background"/>
                    <pic:cNvPicPr>
                      <a:picLocks noChangeAspect="1"/>
                    </pic:cNvPicPr>
                  </pic:nvPicPr>
                  <pic:blipFill rotWithShape="1">
                    <a:blip r:embed="rId7">
                      <a:extLst>
                        <a:ext uri="{28A0092B-C50C-407E-A947-70E740481C1C}">
                          <a14:useLocalDpi xmlns:a14="http://schemas.microsoft.com/office/drawing/2010/main" val="0"/>
                        </a:ext>
                      </a:extLst>
                    </a:blip>
                    <a:srcRect l="121" r="43512"/>
                    <a:stretch/>
                  </pic:blipFill>
                  <pic:spPr bwMode="auto">
                    <a:xfrm rot="16200000">
                      <a:off x="0" y="0"/>
                      <a:ext cx="10330815" cy="726328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br w:type="page"/>
      </w:r>
    </w:p>
    <w:p w14:paraId="58A620A2" w14:textId="0CB00780" w:rsidR="00B10C26" w:rsidRPr="00B10C26" w:rsidRDefault="004C1989" w:rsidP="00E72EC1">
      <w:pPr>
        <w:jc w:val="both"/>
      </w:pPr>
      <w:r>
        <w:lastRenderedPageBreak/>
        <w:pict w14:anchorId="1C4C9D6D">
          <v:rect id="_x0000_i1025" style="width:4.7pt;height:1.5pt" o:hrpct="0" o:hrstd="t" o:hr="t" fillcolor="#a0a0a0" stroked="f"/>
        </w:pict>
      </w:r>
    </w:p>
    <w:p w14:paraId="783EC4BC" w14:textId="6FDD447D" w:rsidR="00B10C26" w:rsidRPr="00B10C26" w:rsidRDefault="00B10C26" w:rsidP="00E72EC1">
      <w:pPr>
        <w:jc w:val="both"/>
        <w:rPr>
          <w:rFonts w:ascii="Neulis Alt" w:hAnsi="Neulis Alt"/>
          <w:b/>
          <w:bCs/>
          <w:color w:val="4EA72E" w:themeColor="accent6"/>
          <w:sz w:val="28"/>
        </w:rPr>
      </w:pPr>
      <w:r w:rsidRPr="00B10C26">
        <w:rPr>
          <w:rFonts w:ascii="Neulis Alt" w:hAnsi="Neulis Alt"/>
          <w:b/>
          <w:bCs/>
          <w:color w:val="4EA72E" w:themeColor="accent6"/>
          <w:sz w:val="28"/>
        </w:rPr>
        <w:t>Establishing a Toolbox for Resilience Education</w:t>
      </w:r>
    </w:p>
    <w:p w14:paraId="1B0E50FE" w14:textId="77777777" w:rsidR="00B10C26" w:rsidRPr="00B10C26" w:rsidRDefault="00B10C26" w:rsidP="00E72EC1">
      <w:pPr>
        <w:jc w:val="both"/>
        <w:rPr>
          <w:b/>
          <w:bCs/>
        </w:rPr>
      </w:pPr>
      <w:r w:rsidRPr="00B10C26">
        <w:rPr>
          <w:b/>
          <w:bCs/>
        </w:rPr>
        <w:t>Project Overview</w:t>
      </w:r>
    </w:p>
    <w:p w14:paraId="0F45DAF2" w14:textId="77777777" w:rsidR="00B10C26" w:rsidRPr="00B10C26" w:rsidRDefault="00B10C26" w:rsidP="00E72EC1">
      <w:pPr>
        <w:jc w:val="both"/>
      </w:pPr>
      <w:r w:rsidRPr="00B10C26">
        <w:t>The main aim of this project is to create a comprehensive toolbox that can be taught to catchment leaders. This toolbox will be used to educate their members on how to improve resilience in the face of adverse events. The project focuses on two levels: the farm level with the "Your Farm Emergency Plan" and the catchment level.</w:t>
      </w:r>
    </w:p>
    <w:p w14:paraId="05ED3203" w14:textId="77777777"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t>Objectives</w:t>
      </w:r>
    </w:p>
    <w:p w14:paraId="77A44420" w14:textId="77777777" w:rsidR="00B10C26" w:rsidRPr="00B10C26" w:rsidRDefault="00B10C26" w:rsidP="00E72EC1">
      <w:pPr>
        <w:numPr>
          <w:ilvl w:val="0"/>
          <w:numId w:val="1"/>
        </w:numPr>
        <w:jc w:val="both"/>
      </w:pPr>
      <w:r w:rsidRPr="00B10C26">
        <w:rPr>
          <w:b/>
          <w:bCs/>
        </w:rPr>
        <w:t>Farm Level: Your Farm Emergency Plan</w:t>
      </w:r>
    </w:p>
    <w:p w14:paraId="73D671D0" w14:textId="77777777" w:rsidR="00B10C26" w:rsidRPr="00B10C26" w:rsidRDefault="00B10C26" w:rsidP="00E72EC1">
      <w:pPr>
        <w:numPr>
          <w:ilvl w:val="1"/>
          <w:numId w:val="12"/>
        </w:numPr>
        <w:spacing w:after="0"/>
        <w:jc w:val="both"/>
      </w:pPr>
      <w:r w:rsidRPr="00B10C26">
        <w:t>Provide farmers with tools and strategies to prepare for, withstand, and adapt to extreme weather events such as floods, droughts, and storms.</w:t>
      </w:r>
    </w:p>
    <w:p w14:paraId="04D931E0" w14:textId="77777777" w:rsidR="00B10C26" w:rsidRPr="00B10C26" w:rsidRDefault="00B10C26" w:rsidP="00E72EC1">
      <w:pPr>
        <w:numPr>
          <w:ilvl w:val="1"/>
          <w:numId w:val="12"/>
        </w:numPr>
        <w:spacing w:after="0"/>
        <w:jc w:val="both"/>
      </w:pPr>
      <w:r w:rsidRPr="00B10C26">
        <w:t>Integrate resilience into farm planning to protect agricultural productivity and rural livelihoods.</w:t>
      </w:r>
    </w:p>
    <w:p w14:paraId="1B5B14DA" w14:textId="77777777" w:rsidR="00B10C26" w:rsidRDefault="00B10C26" w:rsidP="00E72EC1">
      <w:pPr>
        <w:numPr>
          <w:ilvl w:val="1"/>
          <w:numId w:val="12"/>
        </w:numPr>
        <w:spacing w:after="0"/>
        <w:jc w:val="both"/>
      </w:pPr>
      <w:r w:rsidRPr="00B10C26">
        <w:t>Encourage sustainable management of hazards and community participation in risk management.</w:t>
      </w:r>
    </w:p>
    <w:p w14:paraId="5DFD1CE0" w14:textId="77777777" w:rsidR="00E72EC1" w:rsidRPr="00B10C26" w:rsidRDefault="00E72EC1" w:rsidP="00E72EC1">
      <w:pPr>
        <w:spacing w:after="0"/>
        <w:jc w:val="both"/>
      </w:pPr>
    </w:p>
    <w:p w14:paraId="103BA4B3" w14:textId="77777777" w:rsidR="00B10C26" w:rsidRPr="00B10C26" w:rsidRDefault="00B10C26" w:rsidP="00E72EC1">
      <w:pPr>
        <w:numPr>
          <w:ilvl w:val="0"/>
          <w:numId w:val="1"/>
        </w:numPr>
        <w:jc w:val="both"/>
      </w:pPr>
      <w:r w:rsidRPr="00B10C26">
        <w:rPr>
          <w:b/>
          <w:bCs/>
        </w:rPr>
        <w:t>Catchment Level</w:t>
      </w:r>
    </w:p>
    <w:p w14:paraId="5B2A0EAA" w14:textId="24DFA629" w:rsidR="00B10C26" w:rsidRPr="00B10C26" w:rsidRDefault="00B10C26" w:rsidP="00E72EC1">
      <w:pPr>
        <w:pStyle w:val="ListParagraph"/>
        <w:numPr>
          <w:ilvl w:val="1"/>
          <w:numId w:val="14"/>
        </w:numPr>
        <w:spacing w:after="0"/>
        <w:jc w:val="both"/>
      </w:pPr>
      <w:r w:rsidRPr="00B10C26">
        <w:t>Adapt the resilience module to regional hazards and implement it through catchment groups</w:t>
      </w:r>
      <w:r w:rsidR="0000559F">
        <w:t xml:space="preserve"> nationally</w:t>
      </w:r>
      <w:r w:rsidRPr="00B10C26">
        <w:t>.</w:t>
      </w:r>
    </w:p>
    <w:p w14:paraId="77816CF7" w14:textId="77777777" w:rsidR="00B10C26" w:rsidRPr="00B10C26" w:rsidRDefault="00B10C26" w:rsidP="00E72EC1">
      <w:pPr>
        <w:pStyle w:val="ListParagraph"/>
        <w:numPr>
          <w:ilvl w:val="1"/>
          <w:numId w:val="14"/>
        </w:numPr>
        <w:spacing w:after="0"/>
        <w:jc w:val="both"/>
      </w:pPr>
      <w:r w:rsidRPr="00B10C26">
        <w:t>Coordinate activities at the local level and integrate national and local planning.</w:t>
      </w:r>
    </w:p>
    <w:p w14:paraId="3B3E3E6F" w14:textId="77777777" w:rsidR="00B10C26" w:rsidRDefault="00B10C26" w:rsidP="00E72EC1">
      <w:pPr>
        <w:pStyle w:val="ListParagraph"/>
        <w:numPr>
          <w:ilvl w:val="1"/>
          <w:numId w:val="14"/>
        </w:numPr>
        <w:spacing w:after="0"/>
        <w:jc w:val="both"/>
      </w:pPr>
      <w:r w:rsidRPr="00B10C26">
        <w:t>Foster multi-agency cooperation to ensure a comprehensive response to emergencies.</w:t>
      </w:r>
    </w:p>
    <w:p w14:paraId="70E0F51C" w14:textId="77777777" w:rsidR="00E72EC1" w:rsidRDefault="00E72EC1" w:rsidP="00E72EC1">
      <w:pPr>
        <w:spacing w:after="0"/>
        <w:jc w:val="both"/>
      </w:pPr>
    </w:p>
    <w:p w14:paraId="2983CCAB" w14:textId="15317BCD" w:rsidR="0000559F" w:rsidRDefault="0000559F" w:rsidP="00E72EC1">
      <w:pPr>
        <w:spacing w:after="0"/>
        <w:jc w:val="both"/>
      </w:pPr>
      <w:r>
        <w:t>Taranaki Catchment Communities, in association with Lee Cowan, have created a series of modules as part of the Integrated Farm Planning project established by the Ministry for Primary Industries.  From the creation of these modules, it was seen that these met a gap in the current planning on farm and will utilise the role of Catchment Coordinators around the country to undertake workshops to help upskill their rural groups on planning for</w:t>
      </w:r>
      <w:r w:rsidR="00E72EC1">
        <w:t>,</w:t>
      </w:r>
      <w:r>
        <w:t xml:space="preserve"> and dealing with</w:t>
      </w:r>
      <w:r w:rsidR="00E72EC1">
        <w:t>,</w:t>
      </w:r>
      <w:r>
        <w:t xml:space="preserve"> any adverse events.</w:t>
      </w:r>
    </w:p>
    <w:p w14:paraId="7812F96F" w14:textId="77777777" w:rsidR="00E72EC1" w:rsidRDefault="00E72EC1" w:rsidP="00E72EC1">
      <w:pPr>
        <w:spacing w:after="0"/>
        <w:jc w:val="both"/>
      </w:pPr>
    </w:p>
    <w:p w14:paraId="68AE9EC1" w14:textId="259F0522" w:rsidR="00E72EC1" w:rsidRPr="00E72EC1" w:rsidRDefault="00E72EC1" w:rsidP="00E72EC1">
      <w:pPr>
        <w:spacing w:after="0"/>
        <w:jc w:val="both"/>
        <w:rPr>
          <w:rFonts w:ascii="Neulis Alt" w:hAnsi="Neulis Alt"/>
          <w:color w:val="156082" w:themeColor="accent1"/>
        </w:rPr>
      </w:pPr>
      <w:r w:rsidRPr="00E72EC1">
        <w:rPr>
          <w:rFonts w:ascii="Neulis Alt" w:hAnsi="Neulis Alt"/>
          <w:color w:val="156082" w:themeColor="accent1"/>
        </w:rPr>
        <w:t>Intended Audience</w:t>
      </w:r>
    </w:p>
    <w:p w14:paraId="40963F95" w14:textId="77777777" w:rsidR="00E72EC1" w:rsidRDefault="00E72EC1" w:rsidP="00E72EC1">
      <w:pPr>
        <w:spacing w:after="0"/>
        <w:jc w:val="both"/>
      </w:pPr>
    </w:p>
    <w:p w14:paraId="557D709B" w14:textId="26ABE9AB" w:rsidR="00E72EC1" w:rsidRDefault="00E72EC1" w:rsidP="00E72EC1">
      <w:pPr>
        <w:spacing w:after="0"/>
        <w:jc w:val="both"/>
      </w:pPr>
      <w:r>
        <w:t>This toolkit is for Catchment Coordinators nationally in association with their local C</w:t>
      </w:r>
      <w:r w:rsidR="00755F49">
        <w:t>ivil Defence Emergency Management (CDEM) team and is to be used in conjunction with existing CDEM tools.</w:t>
      </w:r>
    </w:p>
    <w:p w14:paraId="2094E980" w14:textId="77777777" w:rsidR="0000559F" w:rsidRDefault="0000559F" w:rsidP="00E72EC1">
      <w:pPr>
        <w:spacing w:after="0"/>
        <w:jc w:val="both"/>
      </w:pPr>
    </w:p>
    <w:p w14:paraId="01B4E96C" w14:textId="77777777" w:rsidR="00755F49" w:rsidRDefault="00755F49" w:rsidP="00E72EC1">
      <w:pPr>
        <w:spacing w:after="0"/>
        <w:jc w:val="both"/>
      </w:pPr>
    </w:p>
    <w:p w14:paraId="7B3F6E6D" w14:textId="77777777" w:rsidR="00755F49" w:rsidRDefault="00755F49" w:rsidP="00E72EC1">
      <w:pPr>
        <w:spacing w:after="0"/>
        <w:jc w:val="both"/>
      </w:pPr>
    </w:p>
    <w:p w14:paraId="7BED5859" w14:textId="77777777" w:rsidR="00755F49" w:rsidRDefault="00755F49" w:rsidP="00E72EC1">
      <w:pPr>
        <w:spacing w:after="0"/>
        <w:jc w:val="both"/>
      </w:pPr>
    </w:p>
    <w:p w14:paraId="0D63BD1A" w14:textId="77777777" w:rsidR="00755F49" w:rsidRDefault="00755F49" w:rsidP="00E72EC1">
      <w:pPr>
        <w:spacing w:after="0"/>
        <w:jc w:val="both"/>
      </w:pPr>
    </w:p>
    <w:p w14:paraId="0F916D0E" w14:textId="77777777" w:rsidR="00755F49" w:rsidRDefault="00755F49" w:rsidP="00E72EC1">
      <w:pPr>
        <w:spacing w:after="0"/>
        <w:jc w:val="both"/>
      </w:pPr>
    </w:p>
    <w:p w14:paraId="0E775433" w14:textId="77777777" w:rsidR="00755F49" w:rsidRDefault="00755F49" w:rsidP="00E72EC1">
      <w:pPr>
        <w:spacing w:after="0"/>
        <w:jc w:val="both"/>
      </w:pPr>
    </w:p>
    <w:p w14:paraId="17BCFDF6" w14:textId="77777777" w:rsidR="00755F49" w:rsidRPr="00B10C26" w:rsidRDefault="00755F49" w:rsidP="00E72EC1">
      <w:pPr>
        <w:spacing w:after="0"/>
        <w:jc w:val="both"/>
      </w:pPr>
    </w:p>
    <w:p w14:paraId="4CF856D9" w14:textId="77777777" w:rsidR="00755F49" w:rsidRDefault="00755F49">
      <w:pPr>
        <w:rPr>
          <w:rFonts w:ascii="Neulis Alt" w:hAnsi="Neulis Alt"/>
          <w:b/>
          <w:bCs/>
          <w:color w:val="156082" w:themeColor="accent1"/>
        </w:rPr>
      </w:pPr>
      <w:r>
        <w:rPr>
          <w:rFonts w:ascii="Neulis Alt" w:hAnsi="Neulis Alt"/>
          <w:b/>
          <w:bCs/>
          <w:color w:val="156082" w:themeColor="accent1"/>
        </w:rPr>
        <w:br w:type="page"/>
      </w:r>
    </w:p>
    <w:p w14:paraId="5DEE0828" w14:textId="2C301DEA"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lastRenderedPageBreak/>
        <w:t>Role of Catchment Coordinators</w:t>
      </w:r>
    </w:p>
    <w:p w14:paraId="0FBBCC96" w14:textId="63D239DF" w:rsidR="00B10C26" w:rsidRPr="00B10C26" w:rsidRDefault="00B10C26" w:rsidP="00E72EC1">
      <w:pPr>
        <w:jc w:val="both"/>
      </w:pPr>
      <w:r w:rsidRPr="00B10C26">
        <w:t>Catchment Coordinators play a crucial role in bridging the gap between agencies and farmers. They act as the liaison to ensure effective communication and coordination during emergencies. Here are the key responsibilities of Catchment Coordinators</w:t>
      </w:r>
      <w:r>
        <w:t xml:space="preserve"> within this project</w:t>
      </w:r>
      <w:r w:rsidRPr="00B10C26">
        <w:t>:</w:t>
      </w:r>
    </w:p>
    <w:p w14:paraId="32A4591B" w14:textId="77777777" w:rsidR="00B10C26" w:rsidRPr="00B10C26" w:rsidRDefault="00B10C26" w:rsidP="00E72EC1">
      <w:pPr>
        <w:numPr>
          <w:ilvl w:val="0"/>
          <w:numId w:val="4"/>
        </w:numPr>
        <w:jc w:val="both"/>
      </w:pPr>
      <w:r w:rsidRPr="00B10C26">
        <w:rPr>
          <w:b/>
          <w:bCs/>
        </w:rPr>
        <w:t>Communication and Coordination</w:t>
      </w:r>
      <w:r w:rsidRPr="00B10C26">
        <w:t>:</w:t>
      </w:r>
    </w:p>
    <w:p w14:paraId="65FB26A4" w14:textId="77777777" w:rsidR="00B10C26" w:rsidRPr="00B10C26" w:rsidRDefault="00B10C26" w:rsidP="00E72EC1">
      <w:pPr>
        <w:pStyle w:val="ListParagraph"/>
        <w:numPr>
          <w:ilvl w:val="1"/>
          <w:numId w:val="14"/>
        </w:numPr>
        <w:spacing w:after="0"/>
        <w:jc w:val="both"/>
      </w:pPr>
      <w:r w:rsidRPr="00B10C26">
        <w:t>Catchment Coordinators will facilitate communication between farmers and local authorities, ensuring that information flows smoothly and timely.</w:t>
      </w:r>
    </w:p>
    <w:p w14:paraId="6F064681" w14:textId="24277FEB" w:rsidR="00B10C26" w:rsidRDefault="00B10C26" w:rsidP="00E72EC1">
      <w:pPr>
        <w:pStyle w:val="ListParagraph"/>
        <w:numPr>
          <w:ilvl w:val="1"/>
          <w:numId w:val="14"/>
        </w:numPr>
        <w:spacing w:after="0"/>
        <w:jc w:val="both"/>
      </w:pPr>
      <w:r w:rsidRPr="00B10C26">
        <w:t>They will coordinate with various agencies, including emergency services, support organisations, and government agencies, to ensure a comprehensive and coordinated respons</w:t>
      </w:r>
      <w:r>
        <w:t>e.</w:t>
      </w:r>
    </w:p>
    <w:p w14:paraId="6AA02FBE" w14:textId="77777777" w:rsidR="00B10C26" w:rsidRPr="00B10C26" w:rsidRDefault="00B10C26" w:rsidP="00E72EC1">
      <w:pPr>
        <w:spacing w:after="0"/>
        <w:jc w:val="both"/>
      </w:pPr>
    </w:p>
    <w:p w14:paraId="5ECBB667" w14:textId="77777777" w:rsidR="00B10C26" w:rsidRPr="00B10C26" w:rsidRDefault="00B10C26" w:rsidP="00E72EC1">
      <w:pPr>
        <w:numPr>
          <w:ilvl w:val="0"/>
          <w:numId w:val="4"/>
        </w:numPr>
        <w:jc w:val="both"/>
      </w:pPr>
      <w:r w:rsidRPr="00B10C26">
        <w:rPr>
          <w:b/>
          <w:bCs/>
        </w:rPr>
        <w:t>Emergency Response Guide</w:t>
      </w:r>
      <w:r w:rsidRPr="00B10C26">
        <w:t>:</w:t>
      </w:r>
    </w:p>
    <w:p w14:paraId="48216ADA" w14:textId="77777777" w:rsidR="00B10C26" w:rsidRPr="00B10C26" w:rsidRDefault="00B10C26" w:rsidP="00E72EC1">
      <w:pPr>
        <w:pStyle w:val="ListParagraph"/>
        <w:numPr>
          <w:ilvl w:val="1"/>
          <w:numId w:val="14"/>
        </w:numPr>
        <w:spacing w:after="0"/>
        <w:jc w:val="both"/>
      </w:pPr>
      <w:r w:rsidRPr="00B10C26">
        <w:t>The "Catchment Coordinators Emergency Response Guide" provides detailed instructions on how coordinators should manage communication and coordination during emergencies.</w:t>
      </w:r>
    </w:p>
    <w:p w14:paraId="450D1A71" w14:textId="77777777" w:rsidR="00B10C26" w:rsidRDefault="00B10C26" w:rsidP="00E72EC1">
      <w:pPr>
        <w:pStyle w:val="ListParagraph"/>
        <w:numPr>
          <w:ilvl w:val="1"/>
          <w:numId w:val="14"/>
        </w:numPr>
        <w:spacing w:after="0"/>
        <w:jc w:val="both"/>
      </w:pPr>
      <w:r w:rsidRPr="00B10C26">
        <w:t>This guide includes contact information for various emergency services and support organisations, ensuring that coordinators have the necessary resources at their fingertips.</w:t>
      </w:r>
    </w:p>
    <w:p w14:paraId="6EA7552C" w14:textId="77777777" w:rsidR="00B10C26" w:rsidRPr="00B10C26" w:rsidRDefault="00B10C26" w:rsidP="00E72EC1">
      <w:pPr>
        <w:spacing w:after="0"/>
        <w:jc w:val="both"/>
      </w:pPr>
    </w:p>
    <w:p w14:paraId="22BC3473" w14:textId="77777777" w:rsidR="00B10C26" w:rsidRPr="00B10C26" w:rsidRDefault="00B10C26" w:rsidP="00E72EC1">
      <w:pPr>
        <w:numPr>
          <w:ilvl w:val="0"/>
          <w:numId w:val="4"/>
        </w:numPr>
        <w:jc w:val="both"/>
      </w:pPr>
      <w:r w:rsidRPr="00B10C26">
        <w:rPr>
          <w:b/>
          <w:bCs/>
        </w:rPr>
        <w:t>Training and Workshops</w:t>
      </w:r>
      <w:r w:rsidRPr="00B10C26">
        <w:t>:</w:t>
      </w:r>
    </w:p>
    <w:p w14:paraId="2934D9A0" w14:textId="77777777" w:rsidR="00B10C26" w:rsidRPr="00B10C26" w:rsidRDefault="00B10C26" w:rsidP="00E72EC1">
      <w:pPr>
        <w:pStyle w:val="ListParagraph"/>
        <w:numPr>
          <w:ilvl w:val="1"/>
          <w:numId w:val="14"/>
        </w:numPr>
        <w:spacing w:after="0"/>
        <w:jc w:val="both"/>
      </w:pPr>
      <w:r w:rsidRPr="00B10C26">
        <w:t>Catchment Coordinators will be trained through a series of workshops to effectively use the resilience toolbox and educate their members.</w:t>
      </w:r>
    </w:p>
    <w:p w14:paraId="6B8D8B4A" w14:textId="77777777" w:rsidR="00B10C26" w:rsidRDefault="00B10C26" w:rsidP="00E72EC1">
      <w:pPr>
        <w:pStyle w:val="ListParagraph"/>
        <w:numPr>
          <w:ilvl w:val="1"/>
          <w:numId w:val="14"/>
        </w:numPr>
        <w:spacing w:after="0"/>
        <w:jc w:val="both"/>
      </w:pPr>
      <w:r w:rsidRPr="00B10C26">
        <w:t>These workshops will cover topics such as risk assessment, emergency planning, and multi-agency coordination.</w:t>
      </w:r>
    </w:p>
    <w:p w14:paraId="179D89CB" w14:textId="77777777" w:rsidR="00B10C26" w:rsidRPr="00B10C26" w:rsidRDefault="00B10C26" w:rsidP="00E72EC1">
      <w:pPr>
        <w:spacing w:after="0"/>
        <w:jc w:val="both"/>
      </w:pPr>
    </w:p>
    <w:p w14:paraId="3025909E" w14:textId="77777777"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t>Challenges and Opportunities</w:t>
      </w:r>
    </w:p>
    <w:p w14:paraId="2C29C542" w14:textId="77777777" w:rsidR="00B10C26" w:rsidRPr="00B10C26" w:rsidRDefault="00B10C26" w:rsidP="00E72EC1">
      <w:pPr>
        <w:numPr>
          <w:ilvl w:val="0"/>
          <w:numId w:val="5"/>
        </w:numPr>
        <w:jc w:val="both"/>
      </w:pPr>
      <w:r w:rsidRPr="00B10C26">
        <w:rPr>
          <w:b/>
          <w:bCs/>
        </w:rPr>
        <w:t>Challenges</w:t>
      </w:r>
      <w:r w:rsidRPr="00B10C26">
        <w:t>:</w:t>
      </w:r>
    </w:p>
    <w:p w14:paraId="59812FDE" w14:textId="77777777" w:rsidR="00B10C26" w:rsidRPr="00B10C26" w:rsidRDefault="00B10C26" w:rsidP="00E72EC1">
      <w:pPr>
        <w:pStyle w:val="ListParagraph"/>
        <w:numPr>
          <w:ilvl w:val="1"/>
          <w:numId w:val="14"/>
        </w:numPr>
        <w:spacing w:after="0"/>
        <w:jc w:val="both"/>
      </w:pPr>
      <w:r w:rsidRPr="00B10C26">
        <w:t>The increasing frequency and severity of extreme weather events require constant adaptation.</w:t>
      </w:r>
    </w:p>
    <w:p w14:paraId="4C164F02" w14:textId="77777777" w:rsidR="00B10C26" w:rsidRDefault="00B10C26" w:rsidP="00E72EC1">
      <w:pPr>
        <w:pStyle w:val="ListParagraph"/>
        <w:numPr>
          <w:ilvl w:val="1"/>
          <w:numId w:val="14"/>
        </w:numPr>
        <w:spacing w:after="0"/>
        <w:jc w:val="both"/>
      </w:pPr>
      <w:r w:rsidRPr="00B10C26">
        <w:t>Ensuring active involvement of all family members, staff, and local communities in the planning process.</w:t>
      </w:r>
    </w:p>
    <w:p w14:paraId="3333E002" w14:textId="77777777" w:rsidR="00B10C26" w:rsidRPr="00B10C26" w:rsidRDefault="00B10C26" w:rsidP="00E72EC1">
      <w:pPr>
        <w:spacing w:after="0"/>
        <w:jc w:val="both"/>
      </w:pPr>
    </w:p>
    <w:p w14:paraId="0EE1E722" w14:textId="77777777" w:rsidR="00B10C26" w:rsidRPr="00B10C26" w:rsidRDefault="00B10C26" w:rsidP="00E72EC1">
      <w:pPr>
        <w:numPr>
          <w:ilvl w:val="0"/>
          <w:numId w:val="5"/>
        </w:numPr>
        <w:jc w:val="both"/>
      </w:pPr>
      <w:r w:rsidRPr="00B10C26">
        <w:rPr>
          <w:b/>
          <w:bCs/>
        </w:rPr>
        <w:t>Opportunities</w:t>
      </w:r>
      <w:r w:rsidRPr="00B10C26">
        <w:t>:</w:t>
      </w:r>
    </w:p>
    <w:p w14:paraId="0B6CA9F1" w14:textId="77777777" w:rsidR="00B10C26" w:rsidRPr="00B10C26" w:rsidRDefault="00B10C26" w:rsidP="00E72EC1">
      <w:pPr>
        <w:pStyle w:val="ListParagraph"/>
        <w:numPr>
          <w:ilvl w:val="1"/>
          <w:numId w:val="14"/>
        </w:numPr>
        <w:spacing w:after="0"/>
        <w:jc w:val="both"/>
      </w:pPr>
      <w:r w:rsidRPr="00B10C26">
        <w:t>Foster a sense of mutual support and resilience within the community.</w:t>
      </w:r>
    </w:p>
    <w:p w14:paraId="62C04AEE" w14:textId="77777777" w:rsidR="00B10C26" w:rsidRPr="00B10C26" w:rsidRDefault="00B10C26" w:rsidP="00E72EC1">
      <w:pPr>
        <w:pStyle w:val="ListParagraph"/>
        <w:numPr>
          <w:ilvl w:val="1"/>
          <w:numId w:val="14"/>
        </w:numPr>
        <w:spacing w:after="0"/>
        <w:jc w:val="both"/>
      </w:pPr>
      <w:r w:rsidRPr="00B10C26">
        <w:t>Enhance coordination of emergency activities through collaboration with local authorities and community groups.</w:t>
      </w:r>
    </w:p>
    <w:p w14:paraId="06077823" w14:textId="77777777" w:rsidR="00B10C26" w:rsidRDefault="00B10C26" w:rsidP="00E72EC1">
      <w:pPr>
        <w:pStyle w:val="ListParagraph"/>
        <w:numPr>
          <w:ilvl w:val="1"/>
          <w:numId w:val="14"/>
        </w:numPr>
        <w:spacing w:after="0"/>
        <w:jc w:val="both"/>
      </w:pPr>
      <w:r w:rsidRPr="00B10C26">
        <w:t>Align farm-level planning with regional and national efforts for a unified approach to disaster management.</w:t>
      </w:r>
    </w:p>
    <w:p w14:paraId="04E7E7B4" w14:textId="77777777" w:rsidR="00B10C26" w:rsidRDefault="00B10C26" w:rsidP="00E72EC1">
      <w:pPr>
        <w:spacing w:after="0"/>
        <w:jc w:val="both"/>
      </w:pPr>
    </w:p>
    <w:p w14:paraId="44610926" w14:textId="77777777" w:rsidR="00755F49" w:rsidRDefault="00755F49" w:rsidP="00E72EC1">
      <w:pPr>
        <w:spacing w:after="0"/>
        <w:jc w:val="both"/>
      </w:pPr>
    </w:p>
    <w:p w14:paraId="3E2DA689" w14:textId="77777777" w:rsidR="00755F49" w:rsidRDefault="00755F49" w:rsidP="00E72EC1">
      <w:pPr>
        <w:spacing w:after="0"/>
        <w:jc w:val="both"/>
      </w:pPr>
    </w:p>
    <w:p w14:paraId="471047E0" w14:textId="77777777" w:rsidR="00755F49" w:rsidRDefault="00755F49" w:rsidP="00E72EC1">
      <w:pPr>
        <w:spacing w:after="0"/>
        <w:jc w:val="both"/>
      </w:pPr>
    </w:p>
    <w:p w14:paraId="2623C362" w14:textId="77777777" w:rsidR="00755F49" w:rsidRPr="00B10C26" w:rsidRDefault="00755F49" w:rsidP="00E72EC1">
      <w:pPr>
        <w:spacing w:after="0"/>
        <w:jc w:val="both"/>
      </w:pPr>
    </w:p>
    <w:p w14:paraId="67988ADD" w14:textId="77777777"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lastRenderedPageBreak/>
        <w:t>Alignment with National Disaster Resilience Strategy (NDRS)</w:t>
      </w:r>
    </w:p>
    <w:p w14:paraId="62142A4F" w14:textId="77777777" w:rsidR="00B10C26" w:rsidRPr="00B10C26" w:rsidRDefault="00B10C26" w:rsidP="00E72EC1">
      <w:pPr>
        <w:numPr>
          <w:ilvl w:val="0"/>
          <w:numId w:val="6"/>
        </w:numPr>
        <w:jc w:val="both"/>
      </w:pPr>
      <w:r w:rsidRPr="00B10C26">
        <w:rPr>
          <w:b/>
          <w:bCs/>
        </w:rPr>
        <w:t>Sustainable Management of Hazards</w:t>
      </w:r>
      <w:r w:rsidRPr="00B10C26">
        <w:t>: Focus on proactive measures and preparedness for various disasters.</w:t>
      </w:r>
    </w:p>
    <w:p w14:paraId="3AA7F35D" w14:textId="77777777" w:rsidR="00B10C26" w:rsidRPr="00B10C26" w:rsidRDefault="00B10C26" w:rsidP="00E72EC1">
      <w:pPr>
        <w:numPr>
          <w:ilvl w:val="0"/>
          <w:numId w:val="6"/>
        </w:numPr>
        <w:jc w:val="both"/>
      </w:pPr>
      <w:r w:rsidRPr="00B10C26">
        <w:rPr>
          <w:b/>
          <w:bCs/>
        </w:rPr>
        <w:t>Wide Participation and Community Involvement</w:t>
      </w:r>
      <w:r w:rsidRPr="00B10C26">
        <w:t>: Involve family members, staff, and local communities in the planning process.</w:t>
      </w:r>
    </w:p>
    <w:p w14:paraId="58300862" w14:textId="77777777" w:rsidR="00B10C26" w:rsidRPr="00B10C26" w:rsidRDefault="00B10C26" w:rsidP="00E72EC1">
      <w:pPr>
        <w:numPr>
          <w:ilvl w:val="0"/>
          <w:numId w:val="6"/>
        </w:numPr>
        <w:jc w:val="both"/>
      </w:pPr>
      <w:r w:rsidRPr="00B10C26">
        <w:rPr>
          <w:b/>
          <w:bCs/>
        </w:rPr>
        <w:t>Planning and Preparation for Emergencies</w:t>
      </w:r>
      <w:r w:rsidRPr="00B10C26">
        <w:t>: Provide comprehensive steps for emergency preparedness.</w:t>
      </w:r>
    </w:p>
    <w:p w14:paraId="45BE6A06" w14:textId="77777777" w:rsidR="00B10C26" w:rsidRPr="00B10C26" w:rsidRDefault="00B10C26" w:rsidP="00E72EC1">
      <w:pPr>
        <w:numPr>
          <w:ilvl w:val="0"/>
          <w:numId w:val="6"/>
        </w:numPr>
        <w:jc w:val="both"/>
      </w:pPr>
      <w:r w:rsidRPr="00B10C26">
        <w:rPr>
          <w:b/>
          <w:bCs/>
        </w:rPr>
        <w:t>Coordination of Activities</w:t>
      </w:r>
      <w:r w:rsidRPr="00B10C26">
        <w:t>: Collaborate with local authorities and community groups.</w:t>
      </w:r>
    </w:p>
    <w:p w14:paraId="34F63A87" w14:textId="77777777" w:rsidR="00B10C26" w:rsidRPr="00B10C26" w:rsidRDefault="00B10C26" w:rsidP="00E72EC1">
      <w:pPr>
        <w:numPr>
          <w:ilvl w:val="0"/>
          <w:numId w:val="6"/>
        </w:numPr>
        <w:jc w:val="both"/>
      </w:pPr>
      <w:r w:rsidRPr="00B10C26">
        <w:rPr>
          <w:b/>
          <w:bCs/>
        </w:rPr>
        <w:t>Integration of National and Local Planning</w:t>
      </w:r>
      <w:r w:rsidRPr="00B10C26">
        <w:t>: Align farm-level emergency planning with regional and national efforts.</w:t>
      </w:r>
    </w:p>
    <w:p w14:paraId="6530186B" w14:textId="77777777" w:rsidR="00B10C26" w:rsidRPr="00B10C26" w:rsidRDefault="00B10C26" w:rsidP="00E72EC1">
      <w:pPr>
        <w:numPr>
          <w:ilvl w:val="0"/>
          <w:numId w:val="6"/>
        </w:numPr>
        <w:jc w:val="both"/>
      </w:pPr>
      <w:r w:rsidRPr="00B10C26">
        <w:rPr>
          <w:b/>
          <w:bCs/>
        </w:rPr>
        <w:t>Multi-Agency Coordination</w:t>
      </w:r>
      <w:r w:rsidRPr="00B10C26">
        <w:t>: Ensure coordination across multiple agencies and sectors.</w:t>
      </w:r>
    </w:p>
    <w:p w14:paraId="0125B6BD" w14:textId="77777777"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t>Costs and Implementation</w:t>
      </w:r>
    </w:p>
    <w:p w14:paraId="6C89AB19" w14:textId="450B3B6D" w:rsidR="00B10C26" w:rsidRPr="00B10C26" w:rsidRDefault="00B10C26" w:rsidP="00E72EC1">
      <w:pPr>
        <w:jc w:val="both"/>
      </w:pPr>
      <w:r w:rsidRPr="00B10C26">
        <w:t>The costs associated with this project include building a digital platform</w:t>
      </w:r>
      <w:r>
        <w:t xml:space="preserve"> with </w:t>
      </w:r>
      <w:r w:rsidRPr="00B10C26">
        <w:t xml:space="preserve">an online eLearning </w:t>
      </w:r>
      <w:r w:rsidR="0000559F" w:rsidRPr="00B10C26">
        <w:t>module and</w:t>
      </w:r>
      <w:r w:rsidRPr="00B10C26">
        <w:t xml:space="preserve"> conducting workshops nationally. The ongoing costs will be managed by incorporating the "Your Farm Emergency Plan" into Integrated Farm Planning, maintained by industry providers such as Fonterra and Beef + Lamb. Training and auditing will be done by their field agents as part of the continual farm assessment and audit process.</w:t>
      </w:r>
    </w:p>
    <w:p w14:paraId="163C16E2" w14:textId="77777777" w:rsidR="00B10C26" w:rsidRPr="00B10C26" w:rsidRDefault="00B10C26" w:rsidP="00E72EC1">
      <w:pPr>
        <w:jc w:val="both"/>
        <w:rPr>
          <w:rFonts w:ascii="Neulis Alt" w:hAnsi="Neulis Alt"/>
          <w:b/>
          <w:bCs/>
          <w:color w:val="156082" w:themeColor="accent1"/>
        </w:rPr>
      </w:pPr>
      <w:r w:rsidRPr="00B10C26">
        <w:rPr>
          <w:rFonts w:ascii="Neulis Alt" w:hAnsi="Neulis Alt"/>
          <w:b/>
          <w:bCs/>
          <w:color w:val="156082" w:themeColor="accent1"/>
        </w:rPr>
        <w:t>Milestones</w:t>
      </w:r>
    </w:p>
    <w:p w14:paraId="1A46A87E" w14:textId="77777777" w:rsidR="00B10C26" w:rsidRPr="00B10C26" w:rsidRDefault="00B10C26" w:rsidP="00E72EC1">
      <w:pPr>
        <w:numPr>
          <w:ilvl w:val="0"/>
          <w:numId w:val="7"/>
        </w:numPr>
        <w:jc w:val="both"/>
      </w:pPr>
      <w:r w:rsidRPr="00B10C26">
        <w:rPr>
          <w:b/>
          <w:bCs/>
        </w:rPr>
        <w:t>Creation of Documentation and Templates</w:t>
      </w:r>
    </w:p>
    <w:p w14:paraId="23BAB770" w14:textId="77777777" w:rsidR="00B10C26" w:rsidRPr="00B10C26" w:rsidRDefault="00B10C26" w:rsidP="00E72EC1">
      <w:pPr>
        <w:numPr>
          <w:ilvl w:val="1"/>
          <w:numId w:val="8"/>
        </w:numPr>
        <w:jc w:val="both"/>
      </w:pPr>
      <w:r w:rsidRPr="00B10C26">
        <w:t>Develop comprehensive documentation and templates for the "Your Farm Emergency Plan" and catchment level resilience strategies.</w:t>
      </w:r>
    </w:p>
    <w:p w14:paraId="4D1C14B9" w14:textId="77777777" w:rsidR="00B10C26" w:rsidRPr="00B10C26" w:rsidRDefault="00B10C26" w:rsidP="00E72EC1">
      <w:pPr>
        <w:numPr>
          <w:ilvl w:val="0"/>
          <w:numId w:val="7"/>
        </w:numPr>
        <w:jc w:val="both"/>
      </w:pPr>
      <w:r w:rsidRPr="00B10C26">
        <w:rPr>
          <w:b/>
          <w:bCs/>
        </w:rPr>
        <w:t>Framework of Online Website</w:t>
      </w:r>
    </w:p>
    <w:p w14:paraId="4953D4E9" w14:textId="77777777" w:rsidR="00B10C26" w:rsidRPr="00B10C26" w:rsidRDefault="00B10C26" w:rsidP="00E72EC1">
      <w:pPr>
        <w:numPr>
          <w:ilvl w:val="1"/>
          <w:numId w:val="9"/>
        </w:numPr>
        <w:jc w:val="both"/>
      </w:pPr>
      <w:r w:rsidRPr="00B10C26">
        <w:t>Design and develop the framework for an online platform to host the resilience toolbox and related resources.</w:t>
      </w:r>
    </w:p>
    <w:p w14:paraId="301BCCC1" w14:textId="77777777" w:rsidR="00B10C26" w:rsidRPr="00B10C26" w:rsidRDefault="00B10C26" w:rsidP="00E72EC1">
      <w:pPr>
        <w:numPr>
          <w:ilvl w:val="0"/>
          <w:numId w:val="7"/>
        </w:numPr>
        <w:jc w:val="both"/>
      </w:pPr>
      <w:r w:rsidRPr="00B10C26">
        <w:rPr>
          <w:b/>
          <w:bCs/>
        </w:rPr>
        <w:t>Creation of Digital eLearning Tools and Printing Hardcopies for Workshops</w:t>
      </w:r>
    </w:p>
    <w:p w14:paraId="358AE759" w14:textId="77777777" w:rsidR="00B10C26" w:rsidRPr="00B10C26" w:rsidRDefault="00B10C26" w:rsidP="00E72EC1">
      <w:pPr>
        <w:numPr>
          <w:ilvl w:val="1"/>
          <w:numId w:val="10"/>
        </w:numPr>
        <w:jc w:val="both"/>
      </w:pPr>
      <w:r w:rsidRPr="00B10C26">
        <w:t>Develop digital eLearning tools to facilitate training and education.</w:t>
      </w:r>
    </w:p>
    <w:p w14:paraId="2CDA1601" w14:textId="77777777" w:rsidR="00B10C26" w:rsidRPr="00B10C26" w:rsidRDefault="00B10C26" w:rsidP="00E72EC1">
      <w:pPr>
        <w:numPr>
          <w:ilvl w:val="1"/>
          <w:numId w:val="10"/>
        </w:numPr>
        <w:jc w:val="both"/>
      </w:pPr>
      <w:r w:rsidRPr="00B10C26">
        <w:t>Print hardcopies of the materials for use in workshops.</w:t>
      </w:r>
    </w:p>
    <w:p w14:paraId="458AE194" w14:textId="77777777" w:rsidR="00B10C26" w:rsidRPr="00B10C26" w:rsidRDefault="00B10C26" w:rsidP="00E72EC1">
      <w:pPr>
        <w:numPr>
          <w:ilvl w:val="0"/>
          <w:numId w:val="7"/>
        </w:numPr>
        <w:jc w:val="both"/>
      </w:pPr>
      <w:r w:rsidRPr="00B10C26">
        <w:rPr>
          <w:b/>
          <w:bCs/>
        </w:rPr>
        <w:t>Series of Workshops for Catchment Leaders Training</w:t>
      </w:r>
    </w:p>
    <w:p w14:paraId="7BFCD3F6" w14:textId="77777777" w:rsidR="00B10C26" w:rsidRDefault="00B10C26" w:rsidP="00E72EC1">
      <w:pPr>
        <w:numPr>
          <w:ilvl w:val="1"/>
          <w:numId w:val="11"/>
        </w:numPr>
        <w:jc w:val="both"/>
      </w:pPr>
      <w:r w:rsidRPr="00B10C26">
        <w:t>Conduct a series of workshops to train catchment leaders on the use of the resilience toolbox and strategies for educating their members.</w:t>
      </w:r>
    </w:p>
    <w:p w14:paraId="5B302ACD" w14:textId="61E6E0BF" w:rsidR="00B10C26" w:rsidRDefault="00B10C26" w:rsidP="00E72EC1">
      <w:pPr>
        <w:jc w:val="both"/>
      </w:pPr>
      <w:r>
        <w:br w:type="page"/>
      </w:r>
    </w:p>
    <w:p w14:paraId="4525F489" w14:textId="5456E96B" w:rsidR="00B5789B" w:rsidRDefault="00B5789B"/>
    <w:p w14:paraId="7E09F550" w14:textId="759FE985" w:rsidR="00C81707" w:rsidRPr="00B5789B" w:rsidRDefault="00B5789B" w:rsidP="00E72EC1">
      <w:pPr>
        <w:jc w:val="both"/>
        <w:rPr>
          <w:rFonts w:ascii="Neulis Alt" w:hAnsi="Neulis Alt"/>
          <w:color w:val="4EA72E" w:themeColor="accent6"/>
          <w:sz w:val="24"/>
          <w:szCs w:val="24"/>
        </w:rPr>
      </w:pPr>
      <w:r w:rsidRPr="00B5789B">
        <w:rPr>
          <w:rFonts w:ascii="Neulis Alt" w:hAnsi="Neulis Alt"/>
          <w:color w:val="4EA72E" w:themeColor="accent6"/>
          <w:sz w:val="24"/>
          <w:szCs w:val="24"/>
        </w:rPr>
        <w:t>Workshop Layout:</w:t>
      </w:r>
    </w:p>
    <w:p w14:paraId="7898CACF" w14:textId="30663F1F" w:rsidR="00B5789B" w:rsidRPr="00B5789B" w:rsidRDefault="00B5789B" w:rsidP="00B5789B">
      <w:pPr>
        <w:jc w:val="both"/>
      </w:pPr>
      <w:r w:rsidRPr="00B5789B">
        <w:t>A workshop using the provided documents to train people on what to do in an adverse event would be comprehensive, covering various aspects of emergency preparedness and response</w:t>
      </w:r>
      <w:r w:rsidR="00ED722E">
        <w:t>.</w:t>
      </w:r>
      <w:r w:rsidRPr="00B5789B">
        <w:t xml:space="preserve"> The workshop would use the "Your Farm Emergency Plan" and "Catchment Communities’ Emergency Response Guide" as key resources.</w:t>
      </w:r>
      <w:r w:rsidR="00ED722E">
        <w:t xml:space="preserve">  The example below is structured to suit the Taranaki region – each workshop will be tailored to include region specific events.</w:t>
      </w:r>
    </w:p>
    <w:p w14:paraId="18A962E9" w14:textId="1C505ABC" w:rsidR="00B5789B" w:rsidRPr="00B5789B" w:rsidRDefault="00B5789B" w:rsidP="00B5789B">
      <w:pPr>
        <w:jc w:val="both"/>
        <w:rPr>
          <w:rFonts w:ascii="Neulis Alt" w:hAnsi="Neulis Alt"/>
          <w:color w:val="156082" w:themeColor="accent1"/>
        </w:rPr>
      </w:pPr>
      <w:r w:rsidRPr="00B5789B">
        <w:rPr>
          <w:rFonts w:ascii="Neulis Alt" w:hAnsi="Neulis Alt"/>
          <w:color w:val="156082" w:themeColor="accent1"/>
        </w:rPr>
        <w:t>Potential structure for the workshop:</w:t>
      </w:r>
    </w:p>
    <w:p w14:paraId="354433ED" w14:textId="77777777" w:rsidR="00B5789B" w:rsidRPr="00B5789B" w:rsidRDefault="00B5789B" w:rsidP="00B5789B">
      <w:pPr>
        <w:jc w:val="both"/>
      </w:pPr>
      <w:r w:rsidRPr="00B5789B">
        <w:rPr>
          <w:b/>
          <w:bCs/>
        </w:rPr>
        <w:t>I. Introduction and Overview</w:t>
      </w:r>
    </w:p>
    <w:p w14:paraId="1488D62E" w14:textId="77777777" w:rsidR="00B5789B" w:rsidRPr="00B5789B" w:rsidRDefault="00B5789B" w:rsidP="00B5789B">
      <w:pPr>
        <w:numPr>
          <w:ilvl w:val="0"/>
          <w:numId w:val="16"/>
        </w:numPr>
        <w:jc w:val="both"/>
      </w:pPr>
      <w:r w:rsidRPr="00B5789B">
        <w:rPr>
          <w:b/>
          <w:bCs/>
        </w:rPr>
        <w:t>Purpose of the workshop:</w:t>
      </w:r>
      <w:r w:rsidRPr="00B5789B">
        <w:t xml:space="preserve"> To help participants understand the risks of adverse events and their roles in emergency preparedness and response.</w:t>
      </w:r>
    </w:p>
    <w:p w14:paraId="608D5656" w14:textId="77777777" w:rsidR="00B5789B" w:rsidRPr="00B5789B" w:rsidRDefault="00B5789B" w:rsidP="00B5789B">
      <w:pPr>
        <w:numPr>
          <w:ilvl w:val="0"/>
          <w:numId w:val="16"/>
        </w:numPr>
        <w:jc w:val="both"/>
      </w:pPr>
      <w:r w:rsidRPr="00B5789B">
        <w:rPr>
          <w:b/>
          <w:bCs/>
        </w:rPr>
        <w:t>Overview of the emergency response hierarchy:</w:t>
      </w:r>
      <w:r w:rsidRPr="00B5789B">
        <w:t xml:space="preserve"> Explain how farmers, catchment groups, support agencies, and emergency management offices (TEMO and NEMA) fit into the response structure.</w:t>
      </w:r>
    </w:p>
    <w:p w14:paraId="293600DA" w14:textId="77777777" w:rsidR="00B5789B" w:rsidRPr="00B5789B" w:rsidRDefault="00B5789B" w:rsidP="00B5789B">
      <w:pPr>
        <w:numPr>
          <w:ilvl w:val="0"/>
          <w:numId w:val="16"/>
        </w:numPr>
        <w:jc w:val="both"/>
      </w:pPr>
      <w:r w:rsidRPr="00B5789B">
        <w:rPr>
          <w:b/>
          <w:bCs/>
        </w:rPr>
        <w:t>Importance of planning:</w:t>
      </w:r>
      <w:r w:rsidRPr="00B5789B">
        <w:t xml:space="preserve"> Emphasize that planning improves survivability, identifies opportunities, provides peace of mind, and may lower insurance premiums.</w:t>
      </w:r>
    </w:p>
    <w:p w14:paraId="17CB7C58" w14:textId="77777777" w:rsidR="00B5789B" w:rsidRPr="00B5789B" w:rsidRDefault="00B5789B" w:rsidP="00B5789B">
      <w:pPr>
        <w:numPr>
          <w:ilvl w:val="0"/>
          <w:numId w:val="16"/>
        </w:numPr>
        <w:jc w:val="both"/>
      </w:pPr>
      <w:r w:rsidRPr="00B5789B">
        <w:rPr>
          <w:b/>
          <w:bCs/>
        </w:rPr>
        <w:t>Types of adverse events:</w:t>
      </w:r>
      <w:r w:rsidRPr="00B5789B">
        <w:t xml:space="preserve"> Highlight the range of potential events, including storms, droughts, floods, snowstorms, volcanic eruptions, earthquakes, and biosecurity incursions, with specific mention of volcanic risks in Taranaki.</w:t>
      </w:r>
    </w:p>
    <w:p w14:paraId="746E0AF1" w14:textId="77777777" w:rsidR="00B5789B" w:rsidRPr="00B5789B" w:rsidRDefault="00B5789B" w:rsidP="00B5789B">
      <w:pPr>
        <w:jc w:val="both"/>
      </w:pPr>
      <w:r w:rsidRPr="00B5789B">
        <w:rPr>
          <w:b/>
          <w:bCs/>
        </w:rPr>
        <w:t>II. Roles and Responsibilities</w:t>
      </w:r>
    </w:p>
    <w:p w14:paraId="3CA6AAA0" w14:textId="0D38F6EF" w:rsidR="00B5789B" w:rsidRPr="00B5789B" w:rsidRDefault="00B5789B" w:rsidP="00B5789B">
      <w:pPr>
        <w:numPr>
          <w:ilvl w:val="0"/>
          <w:numId w:val="17"/>
        </w:numPr>
        <w:jc w:val="both"/>
      </w:pPr>
      <w:r w:rsidRPr="00B5789B">
        <w:rPr>
          <w:b/>
          <w:bCs/>
        </w:rPr>
        <w:t>Farmers and Catchment Groups:</w:t>
      </w:r>
      <w:r w:rsidRPr="00B5789B">
        <w:t xml:space="preserve"> Discuss their role as first responders, assessing situations, implementing safety measures, managing animal welfare, and communicating with support agencies and neighbours.</w:t>
      </w:r>
    </w:p>
    <w:p w14:paraId="60EC8554" w14:textId="77777777" w:rsidR="00B5789B" w:rsidRPr="00B5789B" w:rsidRDefault="00B5789B" w:rsidP="00B5789B">
      <w:pPr>
        <w:numPr>
          <w:ilvl w:val="0"/>
          <w:numId w:val="17"/>
        </w:numPr>
        <w:jc w:val="both"/>
      </w:pPr>
      <w:r w:rsidRPr="00B5789B">
        <w:rPr>
          <w:b/>
          <w:bCs/>
        </w:rPr>
        <w:t>Catchment Group Coordinators:</w:t>
      </w:r>
      <w:r w:rsidRPr="00B5789B">
        <w:t xml:space="preserve"> Explain their role as liaisons between farmers and support agencies, gathering information, coordinating initial responses, and understanding vulnerable populations.</w:t>
      </w:r>
    </w:p>
    <w:p w14:paraId="6CC3D31C" w14:textId="77777777" w:rsidR="00B5789B" w:rsidRPr="00B5789B" w:rsidRDefault="00B5789B" w:rsidP="00B5789B">
      <w:pPr>
        <w:numPr>
          <w:ilvl w:val="0"/>
          <w:numId w:val="17"/>
        </w:numPr>
        <w:jc w:val="both"/>
      </w:pPr>
      <w:r w:rsidRPr="00B5789B">
        <w:rPr>
          <w:b/>
          <w:bCs/>
        </w:rPr>
        <w:t>Support Agencies:</w:t>
      </w:r>
      <w:r w:rsidRPr="00B5789B">
        <w:t xml:space="preserve"> Detail the roles of the Rural Support Trust, Ministry for Primary Industries (MPI), DairyNZ, Taranaki Regional Council, Fonterra, Open Country, and Beef + Lamb New Zealand in providing support, resources, and advice.</w:t>
      </w:r>
    </w:p>
    <w:p w14:paraId="2F86D315" w14:textId="77777777" w:rsidR="00B5789B" w:rsidRPr="00B5789B" w:rsidRDefault="00B5789B" w:rsidP="00B5789B">
      <w:pPr>
        <w:numPr>
          <w:ilvl w:val="0"/>
          <w:numId w:val="17"/>
        </w:numPr>
        <w:jc w:val="both"/>
      </w:pPr>
      <w:r w:rsidRPr="00B5789B">
        <w:rPr>
          <w:b/>
          <w:bCs/>
        </w:rPr>
        <w:t>Emergency Management Offices:</w:t>
      </w:r>
      <w:r w:rsidRPr="00B5789B">
        <w:t xml:space="preserve"> Explain the roles of TEMO and NEMA in coordinating the overall response and working with all relevant agencies.</w:t>
      </w:r>
    </w:p>
    <w:p w14:paraId="625C947C" w14:textId="77777777" w:rsidR="00B5789B" w:rsidRPr="00B5789B" w:rsidRDefault="00B5789B" w:rsidP="00B5789B">
      <w:pPr>
        <w:numPr>
          <w:ilvl w:val="0"/>
          <w:numId w:val="17"/>
        </w:numPr>
        <w:jc w:val="both"/>
      </w:pPr>
      <w:r w:rsidRPr="00B5789B">
        <w:rPr>
          <w:b/>
          <w:bCs/>
        </w:rPr>
        <w:t>Communication Flow:</w:t>
      </w:r>
      <w:r w:rsidRPr="00B5789B">
        <w:t xml:space="preserve"> Describe the communication process during an emergency, from initial alert to ongoing information sharing. </w:t>
      </w:r>
    </w:p>
    <w:p w14:paraId="14B93A4F" w14:textId="77777777" w:rsidR="00B5789B" w:rsidRPr="00B5789B" w:rsidRDefault="00B5789B" w:rsidP="00B5789B">
      <w:pPr>
        <w:numPr>
          <w:ilvl w:val="1"/>
          <w:numId w:val="17"/>
        </w:numPr>
        <w:jc w:val="both"/>
      </w:pPr>
      <w:r w:rsidRPr="00B5789B">
        <w:t>Initial alert from TEMO to farmers and catchment group coordinators.</w:t>
      </w:r>
    </w:p>
    <w:p w14:paraId="20FE9356" w14:textId="77777777" w:rsidR="00B5789B" w:rsidRPr="00B5789B" w:rsidRDefault="00B5789B" w:rsidP="00B5789B">
      <w:pPr>
        <w:numPr>
          <w:ilvl w:val="1"/>
          <w:numId w:val="17"/>
        </w:numPr>
        <w:jc w:val="both"/>
      </w:pPr>
      <w:r w:rsidRPr="00B5789B">
        <w:t>Assessment and coordination by catchment group coordinators.</w:t>
      </w:r>
    </w:p>
    <w:p w14:paraId="61670B47" w14:textId="77777777" w:rsidR="00B5789B" w:rsidRPr="00B5789B" w:rsidRDefault="00B5789B" w:rsidP="00B5789B">
      <w:pPr>
        <w:numPr>
          <w:ilvl w:val="1"/>
          <w:numId w:val="17"/>
        </w:numPr>
        <w:jc w:val="both"/>
      </w:pPr>
      <w:r w:rsidRPr="00B5789B">
        <w:t>Support activation from support agencies.</w:t>
      </w:r>
    </w:p>
    <w:p w14:paraId="4928961B" w14:textId="77777777" w:rsidR="00B5789B" w:rsidRPr="00B5789B" w:rsidRDefault="00B5789B" w:rsidP="00B5789B">
      <w:pPr>
        <w:numPr>
          <w:ilvl w:val="1"/>
          <w:numId w:val="17"/>
        </w:numPr>
        <w:jc w:val="both"/>
      </w:pPr>
      <w:r w:rsidRPr="00B5789B">
        <w:t>Lead agency coordination between coordinators, support agencies, and TEMO/NEMA.</w:t>
      </w:r>
    </w:p>
    <w:p w14:paraId="3513788E" w14:textId="77777777" w:rsidR="00B5789B" w:rsidRPr="00B5789B" w:rsidRDefault="00B5789B" w:rsidP="00B5789B">
      <w:pPr>
        <w:numPr>
          <w:ilvl w:val="1"/>
          <w:numId w:val="17"/>
        </w:numPr>
        <w:jc w:val="both"/>
      </w:pPr>
      <w:r w:rsidRPr="00B5789B">
        <w:lastRenderedPageBreak/>
        <w:t>Ongoing communication between all parties.</w:t>
      </w:r>
    </w:p>
    <w:p w14:paraId="4704A4E5" w14:textId="77777777" w:rsidR="00B5789B" w:rsidRPr="00B5789B" w:rsidRDefault="00B5789B" w:rsidP="00B5789B">
      <w:pPr>
        <w:jc w:val="both"/>
      </w:pPr>
      <w:r w:rsidRPr="00B5789B">
        <w:rPr>
          <w:b/>
          <w:bCs/>
        </w:rPr>
        <w:t>III. Emergency Preparedness</w:t>
      </w:r>
    </w:p>
    <w:p w14:paraId="1836BFB5" w14:textId="77777777" w:rsidR="00B5789B" w:rsidRPr="00B5789B" w:rsidRDefault="00B5789B" w:rsidP="00B5789B">
      <w:pPr>
        <w:numPr>
          <w:ilvl w:val="0"/>
          <w:numId w:val="18"/>
        </w:numPr>
        <w:jc w:val="both"/>
      </w:pPr>
      <w:r w:rsidRPr="00B5789B">
        <w:rPr>
          <w:b/>
          <w:bCs/>
        </w:rPr>
        <w:t>Resilience Checklist for Catchment Coordinators:</w:t>
      </w:r>
      <w:r w:rsidRPr="00B5789B">
        <w:t xml:space="preserve"> Work through the checklist covering risks, resources, communication, evacuation, medical response, and resource allocation.</w:t>
      </w:r>
    </w:p>
    <w:p w14:paraId="0765466B" w14:textId="2A3143EE" w:rsidR="00B5789B" w:rsidRPr="00B5789B" w:rsidRDefault="00B5789B" w:rsidP="00B5789B">
      <w:pPr>
        <w:numPr>
          <w:ilvl w:val="0"/>
          <w:numId w:val="18"/>
        </w:numPr>
        <w:jc w:val="both"/>
      </w:pPr>
      <w:r w:rsidRPr="00B5789B">
        <w:rPr>
          <w:b/>
          <w:bCs/>
        </w:rPr>
        <w:t>Farm Emergency Response Plan:</w:t>
      </w:r>
      <w:r w:rsidRPr="00B5789B">
        <w:t xml:space="preserve"> Guide farmers through assessing risks, establishing communication channels, planning for livestock welfare, securing infrastructure, ensuring power supply, and prioriti</w:t>
      </w:r>
      <w:r>
        <w:t>s</w:t>
      </w:r>
      <w:r w:rsidRPr="00B5789B">
        <w:t>ing human safety.</w:t>
      </w:r>
    </w:p>
    <w:p w14:paraId="534B2B2C" w14:textId="77777777" w:rsidR="00B5789B" w:rsidRPr="00B5789B" w:rsidRDefault="00B5789B" w:rsidP="00B5789B">
      <w:pPr>
        <w:numPr>
          <w:ilvl w:val="0"/>
          <w:numId w:val="18"/>
        </w:numPr>
        <w:jc w:val="both"/>
      </w:pPr>
      <w:r w:rsidRPr="00B5789B">
        <w:rPr>
          <w:b/>
          <w:bCs/>
        </w:rPr>
        <w:t>Home Preparedness:</w:t>
      </w:r>
    </w:p>
    <w:p w14:paraId="05C40896" w14:textId="77777777" w:rsidR="00B5789B" w:rsidRPr="00B5789B" w:rsidRDefault="00B5789B" w:rsidP="00B5789B">
      <w:pPr>
        <w:numPr>
          <w:ilvl w:val="0"/>
          <w:numId w:val="18"/>
        </w:numPr>
        <w:jc w:val="both"/>
      </w:pPr>
      <w:r w:rsidRPr="00B5789B">
        <w:t>Discuss identifying special requirements</w:t>
      </w:r>
    </w:p>
    <w:p w14:paraId="4C8A0E8D" w14:textId="77777777" w:rsidR="00B5789B" w:rsidRPr="00B5789B" w:rsidRDefault="00B5789B" w:rsidP="00B5789B">
      <w:pPr>
        <w:numPr>
          <w:ilvl w:val="0"/>
          <w:numId w:val="18"/>
        </w:numPr>
        <w:jc w:val="both"/>
      </w:pPr>
      <w:r w:rsidRPr="00B5789B">
        <w:t>Planning for water and power outages</w:t>
      </w:r>
    </w:p>
    <w:p w14:paraId="675D0991" w14:textId="77777777" w:rsidR="00B5789B" w:rsidRPr="00B5789B" w:rsidRDefault="00B5789B" w:rsidP="00B5789B">
      <w:pPr>
        <w:numPr>
          <w:ilvl w:val="0"/>
          <w:numId w:val="18"/>
        </w:numPr>
        <w:jc w:val="both"/>
      </w:pPr>
      <w:r w:rsidRPr="00B5789B">
        <w:t>Preparing for being stuck on the farm and for evacuation.</w:t>
      </w:r>
    </w:p>
    <w:p w14:paraId="7744F16A" w14:textId="77777777" w:rsidR="00B5789B" w:rsidRPr="00B5789B" w:rsidRDefault="00B5789B" w:rsidP="00B5789B">
      <w:pPr>
        <w:numPr>
          <w:ilvl w:val="0"/>
          <w:numId w:val="18"/>
        </w:numPr>
        <w:jc w:val="both"/>
      </w:pPr>
      <w:r w:rsidRPr="00B5789B">
        <w:t>Highlighting the importance of grab bags.</w:t>
      </w:r>
    </w:p>
    <w:p w14:paraId="2AEE655F" w14:textId="12C24C1E" w:rsidR="00B5789B" w:rsidRPr="00B5789B" w:rsidRDefault="00B5789B" w:rsidP="00B5789B">
      <w:pPr>
        <w:numPr>
          <w:ilvl w:val="0"/>
          <w:numId w:val="18"/>
        </w:numPr>
        <w:jc w:val="both"/>
      </w:pPr>
      <w:r w:rsidRPr="00B5789B">
        <w:t>Preparing to help neighbours and community.</w:t>
      </w:r>
    </w:p>
    <w:p w14:paraId="16B3BCB7" w14:textId="77777777" w:rsidR="00B5789B" w:rsidRPr="00B5789B" w:rsidRDefault="00B5789B" w:rsidP="00B5789B">
      <w:pPr>
        <w:numPr>
          <w:ilvl w:val="0"/>
          <w:numId w:val="18"/>
        </w:numPr>
        <w:jc w:val="both"/>
      </w:pPr>
      <w:r w:rsidRPr="00B5789B">
        <w:t>Planning for kids and getting information.</w:t>
      </w:r>
    </w:p>
    <w:p w14:paraId="085B6BBC" w14:textId="77777777" w:rsidR="00B5789B" w:rsidRPr="00B5789B" w:rsidRDefault="00B5789B" w:rsidP="00B5789B">
      <w:pPr>
        <w:numPr>
          <w:ilvl w:val="0"/>
          <w:numId w:val="18"/>
        </w:numPr>
        <w:jc w:val="both"/>
      </w:pPr>
      <w:r w:rsidRPr="00B5789B">
        <w:rPr>
          <w:b/>
          <w:bCs/>
        </w:rPr>
        <w:t>Volcanic Eruption Preparation:</w:t>
      </w:r>
      <w:r w:rsidRPr="00B5789B">
        <w:t xml:space="preserve"> Explain the specific impacts of a volcanic eruption, such as lahars, pyroclastic flows, and ashfall, and outline how these may impact power, water, buildings, pastures, livestock, and vehicles.</w:t>
      </w:r>
    </w:p>
    <w:p w14:paraId="3640C811" w14:textId="77777777" w:rsidR="00B5789B" w:rsidRPr="00B5789B" w:rsidRDefault="00B5789B" w:rsidP="00B5789B">
      <w:pPr>
        <w:numPr>
          <w:ilvl w:val="0"/>
          <w:numId w:val="18"/>
        </w:numPr>
        <w:jc w:val="both"/>
      </w:pPr>
      <w:r w:rsidRPr="00B5789B">
        <w:rPr>
          <w:b/>
          <w:bCs/>
        </w:rPr>
        <w:t>Farm Preparedness:</w:t>
      </w:r>
      <w:r w:rsidRPr="00B5789B">
        <w:t xml:space="preserve"> </w:t>
      </w:r>
    </w:p>
    <w:p w14:paraId="6E47F390" w14:textId="77777777" w:rsidR="00B5789B" w:rsidRPr="00B5789B" w:rsidRDefault="00B5789B" w:rsidP="00B5789B">
      <w:pPr>
        <w:numPr>
          <w:ilvl w:val="1"/>
          <w:numId w:val="18"/>
        </w:numPr>
        <w:jc w:val="both"/>
      </w:pPr>
      <w:r w:rsidRPr="00B5789B">
        <w:t>Knowing the farm and potential emergencies.</w:t>
      </w:r>
    </w:p>
    <w:p w14:paraId="5957CEC7" w14:textId="77777777" w:rsidR="00B5789B" w:rsidRPr="00B5789B" w:rsidRDefault="00B5789B" w:rsidP="00B5789B">
      <w:pPr>
        <w:numPr>
          <w:ilvl w:val="1"/>
          <w:numId w:val="18"/>
        </w:numPr>
        <w:jc w:val="both"/>
      </w:pPr>
      <w:r w:rsidRPr="00B5789B">
        <w:t>Planning for livestock welfare during adverse events including volcanic eruptions.</w:t>
      </w:r>
    </w:p>
    <w:p w14:paraId="18A47EB0" w14:textId="77777777" w:rsidR="00B5789B" w:rsidRPr="00B5789B" w:rsidRDefault="00B5789B" w:rsidP="00B5789B">
      <w:pPr>
        <w:numPr>
          <w:ilvl w:val="1"/>
          <w:numId w:val="18"/>
        </w:numPr>
        <w:jc w:val="both"/>
      </w:pPr>
      <w:r w:rsidRPr="00B5789B">
        <w:t>Considering infrastructure and environment.</w:t>
      </w:r>
    </w:p>
    <w:p w14:paraId="799CE9F8" w14:textId="77777777" w:rsidR="00B5789B" w:rsidRPr="00B5789B" w:rsidRDefault="00B5789B" w:rsidP="00B5789B">
      <w:pPr>
        <w:numPr>
          <w:ilvl w:val="1"/>
          <w:numId w:val="18"/>
        </w:numPr>
        <w:jc w:val="both"/>
      </w:pPr>
      <w:r w:rsidRPr="00B5789B">
        <w:t>Ensuring power supply, equipment and communication.</w:t>
      </w:r>
    </w:p>
    <w:p w14:paraId="13C8CC9A" w14:textId="77777777" w:rsidR="00B5789B" w:rsidRPr="00B5789B" w:rsidRDefault="00B5789B" w:rsidP="00B5789B">
      <w:pPr>
        <w:numPr>
          <w:ilvl w:val="0"/>
          <w:numId w:val="18"/>
        </w:numPr>
        <w:jc w:val="both"/>
      </w:pPr>
      <w:r w:rsidRPr="00B5789B">
        <w:rPr>
          <w:b/>
          <w:bCs/>
        </w:rPr>
        <w:t>Emergency Equipment and Supplies:</w:t>
      </w:r>
      <w:r w:rsidRPr="00B5789B">
        <w:t xml:space="preserve"> Emphasize having first aid kits, fire extinguishers, lighting, safety vests, and communication devices.</w:t>
      </w:r>
    </w:p>
    <w:p w14:paraId="195DED04" w14:textId="77777777" w:rsidR="00B5789B" w:rsidRPr="00B5789B" w:rsidRDefault="00B5789B" w:rsidP="00B5789B">
      <w:pPr>
        <w:numPr>
          <w:ilvl w:val="0"/>
          <w:numId w:val="18"/>
        </w:numPr>
        <w:jc w:val="both"/>
      </w:pPr>
      <w:r w:rsidRPr="00B5789B">
        <w:rPr>
          <w:b/>
          <w:bCs/>
        </w:rPr>
        <w:t>Evacuation Routes and Assembly Points:</w:t>
      </w:r>
      <w:r w:rsidRPr="00B5789B">
        <w:t xml:space="preserve"> Identify primary and secondary routes and safe gathering locations.</w:t>
      </w:r>
    </w:p>
    <w:p w14:paraId="435A675A" w14:textId="0FEAF968" w:rsidR="00B5789B" w:rsidRPr="00B5789B" w:rsidRDefault="00B5789B" w:rsidP="00B5789B">
      <w:pPr>
        <w:numPr>
          <w:ilvl w:val="0"/>
          <w:numId w:val="18"/>
        </w:numPr>
        <w:jc w:val="both"/>
      </w:pPr>
      <w:r w:rsidRPr="00B5789B">
        <w:rPr>
          <w:b/>
          <w:bCs/>
        </w:rPr>
        <w:t>Weather Preparedness:</w:t>
      </w:r>
      <w:r w:rsidRPr="00B5789B">
        <w:t xml:space="preserve"> Encourage participants to monitor forecasts, have shelter options, and to be aware that </w:t>
      </w:r>
      <w:proofErr w:type="spellStart"/>
      <w:r w:rsidRPr="00B5789B">
        <w:t>RadioNZ</w:t>
      </w:r>
      <w:proofErr w:type="spellEnd"/>
      <w:r w:rsidRPr="00B5789B">
        <w:t xml:space="preserve"> is the primary source for civil defence announcements.</w:t>
      </w:r>
    </w:p>
    <w:p w14:paraId="7E3BCAAC" w14:textId="77777777" w:rsidR="00B5789B" w:rsidRPr="00B5789B" w:rsidRDefault="00B5789B" w:rsidP="00B5789B">
      <w:pPr>
        <w:numPr>
          <w:ilvl w:val="0"/>
          <w:numId w:val="18"/>
        </w:numPr>
        <w:jc w:val="both"/>
      </w:pPr>
      <w:r w:rsidRPr="00B5789B">
        <w:rPr>
          <w:b/>
          <w:bCs/>
        </w:rPr>
        <w:t>Community Engagement and Education:</w:t>
      </w:r>
      <w:r w:rsidRPr="00B5789B">
        <w:t xml:space="preserve"> Discuss how to educate the community on emergency procedures.</w:t>
      </w:r>
    </w:p>
    <w:p w14:paraId="56DB26AA" w14:textId="1B050B31" w:rsidR="00B5789B" w:rsidRPr="00B5789B" w:rsidRDefault="00B5789B" w:rsidP="00B5789B">
      <w:pPr>
        <w:numPr>
          <w:ilvl w:val="0"/>
          <w:numId w:val="18"/>
        </w:numPr>
        <w:jc w:val="both"/>
      </w:pPr>
      <w:r w:rsidRPr="00B5789B">
        <w:rPr>
          <w:b/>
          <w:bCs/>
        </w:rPr>
        <w:t>Collaboration with Other Agencies:</w:t>
      </w:r>
      <w:r w:rsidRPr="00B5789B">
        <w:t xml:space="preserve"> Emphasize the importance of working with neighbouring catchments, emergency services, and government agencies.</w:t>
      </w:r>
    </w:p>
    <w:p w14:paraId="30671D1A" w14:textId="77777777" w:rsidR="00B5789B" w:rsidRPr="00B5789B" w:rsidRDefault="00B5789B" w:rsidP="00B5789B">
      <w:pPr>
        <w:jc w:val="both"/>
      </w:pPr>
      <w:r w:rsidRPr="00B5789B">
        <w:rPr>
          <w:b/>
          <w:bCs/>
        </w:rPr>
        <w:t>IV. Emergency Response and Recovery</w:t>
      </w:r>
    </w:p>
    <w:p w14:paraId="7ED44403" w14:textId="77777777" w:rsidR="00B5789B" w:rsidRPr="00B5789B" w:rsidRDefault="00B5789B" w:rsidP="00B5789B">
      <w:pPr>
        <w:numPr>
          <w:ilvl w:val="0"/>
          <w:numId w:val="19"/>
        </w:numPr>
        <w:jc w:val="both"/>
      </w:pPr>
      <w:r w:rsidRPr="00B5789B">
        <w:rPr>
          <w:b/>
          <w:bCs/>
        </w:rPr>
        <w:lastRenderedPageBreak/>
        <w:t>Immediate Response:</w:t>
      </w:r>
      <w:r w:rsidRPr="00B5789B">
        <w:t xml:space="preserve"> Detail actions to take immediately before, during and after an event such as a volcanic eruption.</w:t>
      </w:r>
    </w:p>
    <w:p w14:paraId="30421190" w14:textId="77777777" w:rsidR="00B5789B" w:rsidRPr="00B5789B" w:rsidRDefault="00B5789B" w:rsidP="00B5789B">
      <w:pPr>
        <w:numPr>
          <w:ilvl w:val="0"/>
          <w:numId w:val="19"/>
        </w:numPr>
        <w:jc w:val="both"/>
      </w:pPr>
      <w:r w:rsidRPr="00B5789B">
        <w:rPr>
          <w:b/>
          <w:bCs/>
        </w:rPr>
        <w:t>First Days:</w:t>
      </w:r>
      <w:r w:rsidRPr="00B5789B">
        <w:t xml:space="preserve"> Provide guidelines for inspecting farms, checking water supplies, clearing ash, and monitoring animal health after an eruption.</w:t>
      </w:r>
    </w:p>
    <w:p w14:paraId="71A89F7F" w14:textId="77777777" w:rsidR="00B5789B" w:rsidRPr="00B5789B" w:rsidRDefault="00B5789B" w:rsidP="00B5789B">
      <w:pPr>
        <w:numPr>
          <w:ilvl w:val="0"/>
          <w:numId w:val="19"/>
        </w:numPr>
        <w:jc w:val="both"/>
      </w:pPr>
      <w:r w:rsidRPr="00B5789B">
        <w:rPr>
          <w:b/>
          <w:bCs/>
        </w:rPr>
        <w:t>Weeks:</w:t>
      </w:r>
      <w:r w:rsidRPr="00B5789B">
        <w:t xml:space="preserve"> Discuss assessing feed availability, determining the impact on pasture, and making decisions about destocking.</w:t>
      </w:r>
    </w:p>
    <w:p w14:paraId="6CFBB156" w14:textId="77777777" w:rsidR="00B5789B" w:rsidRPr="00B5789B" w:rsidRDefault="00B5789B" w:rsidP="00B5789B">
      <w:pPr>
        <w:numPr>
          <w:ilvl w:val="0"/>
          <w:numId w:val="19"/>
        </w:numPr>
        <w:jc w:val="both"/>
      </w:pPr>
      <w:r w:rsidRPr="00B5789B">
        <w:rPr>
          <w:b/>
          <w:bCs/>
        </w:rPr>
        <w:t>Volunteer Oversight:</w:t>
      </w:r>
      <w:r w:rsidRPr="00B5789B">
        <w:t xml:space="preserve"> Cover the pre-emergency preparation of volunteer lists and training as well as the activation and oversight of volunteers during an emergency.</w:t>
      </w:r>
    </w:p>
    <w:p w14:paraId="0ECF2728" w14:textId="77777777" w:rsidR="00B5789B" w:rsidRPr="00B5789B" w:rsidRDefault="00B5789B" w:rsidP="00B5789B">
      <w:pPr>
        <w:numPr>
          <w:ilvl w:val="0"/>
          <w:numId w:val="19"/>
        </w:numPr>
        <w:jc w:val="both"/>
      </w:pPr>
      <w:r w:rsidRPr="00B5789B">
        <w:rPr>
          <w:b/>
          <w:bCs/>
        </w:rPr>
        <w:t>Impact Report:</w:t>
      </w:r>
      <w:r w:rsidRPr="00B5789B">
        <w:t xml:space="preserve"> Explain how to document damage to people, animals, assets, and infrastructure using the provided TEMO impact report template.</w:t>
      </w:r>
    </w:p>
    <w:p w14:paraId="3C1DE733" w14:textId="77777777" w:rsidR="00B5789B" w:rsidRPr="00B5789B" w:rsidRDefault="00B5789B" w:rsidP="00B5789B">
      <w:pPr>
        <w:numPr>
          <w:ilvl w:val="0"/>
          <w:numId w:val="19"/>
        </w:numPr>
        <w:jc w:val="both"/>
      </w:pPr>
      <w:r w:rsidRPr="00B5789B">
        <w:rPr>
          <w:b/>
          <w:bCs/>
        </w:rPr>
        <w:t>Government Collaboration:</w:t>
      </w:r>
      <w:r w:rsidRPr="00B5789B">
        <w:t xml:space="preserve"> Detail how to work with government agencies, comply with funding requirements, and ensure responsible stewardship of funds.</w:t>
      </w:r>
    </w:p>
    <w:p w14:paraId="623B55CF" w14:textId="77777777" w:rsidR="00B5789B" w:rsidRPr="00B5789B" w:rsidRDefault="00B5789B" w:rsidP="00B5789B">
      <w:pPr>
        <w:numPr>
          <w:ilvl w:val="0"/>
          <w:numId w:val="19"/>
        </w:numPr>
        <w:jc w:val="both"/>
      </w:pPr>
      <w:r w:rsidRPr="00B5789B">
        <w:rPr>
          <w:b/>
          <w:bCs/>
        </w:rPr>
        <w:t>Recovery:</w:t>
      </w:r>
      <w:r w:rsidRPr="00B5789B">
        <w:t xml:space="preserve"> Briefly review strategies and resources for recovery.</w:t>
      </w:r>
    </w:p>
    <w:p w14:paraId="1957CE94" w14:textId="77777777" w:rsidR="00B5789B" w:rsidRPr="00B5789B" w:rsidRDefault="00B5789B" w:rsidP="00B5789B">
      <w:pPr>
        <w:jc w:val="both"/>
      </w:pPr>
      <w:r w:rsidRPr="00B5789B">
        <w:rPr>
          <w:b/>
          <w:bCs/>
        </w:rPr>
        <w:t>V. Practical Exercises and Planning</w:t>
      </w:r>
    </w:p>
    <w:p w14:paraId="589CB837" w14:textId="77777777" w:rsidR="00B5789B" w:rsidRPr="00B5789B" w:rsidRDefault="00B5789B" w:rsidP="00B5789B">
      <w:pPr>
        <w:numPr>
          <w:ilvl w:val="0"/>
          <w:numId w:val="20"/>
        </w:numPr>
        <w:jc w:val="both"/>
      </w:pPr>
      <w:r w:rsidRPr="00B5789B">
        <w:rPr>
          <w:b/>
          <w:bCs/>
        </w:rPr>
        <w:t>Group Activities:</w:t>
      </w:r>
      <w:r w:rsidRPr="00B5789B">
        <w:t xml:space="preserve"> Have participants work through checklists and create parts of their own emergency plans.</w:t>
      </w:r>
    </w:p>
    <w:p w14:paraId="0F53F584" w14:textId="77777777" w:rsidR="00B5789B" w:rsidRPr="00B5789B" w:rsidRDefault="00B5789B" w:rsidP="00B5789B">
      <w:pPr>
        <w:numPr>
          <w:ilvl w:val="0"/>
          <w:numId w:val="20"/>
        </w:numPr>
        <w:jc w:val="both"/>
      </w:pPr>
      <w:r w:rsidRPr="00B5789B">
        <w:rPr>
          <w:b/>
          <w:bCs/>
        </w:rPr>
        <w:t>Scenario Planning:</w:t>
      </w:r>
      <w:r w:rsidRPr="00B5789B">
        <w:t xml:space="preserve"> Use hypothetical scenarios of various disasters for participants to practice their response.</w:t>
      </w:r>
    </w:p>
    <w:p w14:paraId="22FE9322" w14:textId="77777777" w:rsidR="00B5789B" w:rsidRPr="00B5789B" w:rsidRDefault="00B5789B" w:rsidP="00B5789B">
      <w:pPr>
        <w:numPr>
          <w:ilvl w:val="0"/>
          <w:numId w:val="20"/>
        </w:numPr>
        <w:jc w:val="both"/>
      </w:pPr>
      <w:r w:rsidRPr="00B5789B">
        <w:rPr>
          <w:b/>
          <w:bCs/>
        </w:rPr>
        <w:t>Communication Drills:</w:t>
      </w:r>
      <w:r w:rsidRPr="00B5789B">
        <w:t xml:space="preserve"> Practice communication protocols and identify key contacts.</w:t>
      </w:r>
    </w:p>
    <w:p w14:paraId="1B5F5273" w14:textId="77777777" w:rsidR="00B5789B" w:rsidRPr="00B5789B" w:rsidRDefault="00B5789B" w:rsidP="00B5789B">
      <w:pPr>
        <w:numPr>
          <w:ilvl w:val="0"/>
          <w:numId w:val="20"/>
        </w:numPr>
        <w:jc w:val="both"/>
      </w:pPr>
      <w:r w:rsidRPr="00B5789B">
        <w:rPr>
          <w:b/>
          <w:bCs/>
        </w:rPr>
        <w:t>Volunteer Coordination:</w:t>
      </w:r>
      <w:r w:rsidRPr="00B5789B">
        <w:t xml:space="preserve"> Discuss the processes involved in volunteer management.</w:t>
      </w:r>
    </w:p>
    <w:p w14:paraId="32EACA1D" w14:textId="77777777" w:rsidR="00B5789B" w:rsidRPr="00B5789B" w:rsidRDefault="00B5789B" w:rsidP="00B5789B">
      <w:pPr>
        <w:jc w:val="both"/>
      </w:pPr>
      <w:r w:rsidRPr="00B5789B">
        <w:rPr>
          <w:b/>
          <w:bCs/>
        </w:rPr>
        <w:t>VI. Resources and Contacts</w:t>
      </w:r>
    </w:p>
    <w:p w14:paraId="7458872F" w14:textId="77777777" w:rsidR="00B5789B" w:rsidRPr="00B5789B" w:rsidRDefault="00B5789B" w:rsidP="00B5789B">
      <w:pPr>
        <w:numPr>
          <w:ilvl w:val="0"/>
          <w:numId w:val="21"/>
        </w:numPr>
        <w:jc w:val="both"/>
      </w:pPr>
      <w:r w:rsidRPr="00B5789B">
        <w:rPr>
          <w:b/>
          <w:bCs/>
        </w:rPr>
        <w:t>Important Contacts:</w:t>
      </w:r>
      <w:r w:rsidRPr="00B5789B">
        <w:t xml:space="preserve"> Provide contact information for emergency services, the Taranaki Regional Council, Civil Defence, the Rural Support Trust, health services, and relevant agencies.</w:t>
      </w:r>
    </w:p>
    <w:p w14:paraId="03470F50" w14:textId="77777777" w:rsidR="00B5789B" w:rsidRPr="00B5789B" w:rsidRDefault="00B5789B" w:rsidP="00B5789B">
      <w:pPr>
        <w:numPr>
          <w:ilvl w:val="0"/>
          <w:numId w:val="21"/>
        </w:numPr>
        <w:jc w:val="both"/>
      </w:pPr>
      <w:r w:rsidRPr="00B5789B">
        <w:rPr>
          <w:b/>
          <w:bCs/>
        </w:rPr>
        <w:t>Radio Stations:</w:t>
      </w:r>
      <w:r w:rsidRPr="00B5789B">
        <w:t xml:space="preserve"> List local radio stations that provide updates during emergencies.</w:t>
      </w:r>
    </w:p>
    <w:p w14:paraId="58231FA4" w14:textId="77777777" w:rsidR="00B5789B" w:rsidRPr="00B5789B" w:rsidRDefault="00B5789B" w:rsidP="00B5789B">
      <w:pPr>
        <w:numPr>
          <w:ilvl w:val="0"/>
          <w:numId w:val="21"/>
        </w:numPr>
        <w:jc w:val="both"/>
      </w:pPr>
      <w:r w:rsidRPr="00B5789B">
        <w:rPr>
          <w:b/>
          <w:bCs/>
        </w:rPr>
        <w:t>Useful Websites:</w:t>
      </w:r>
      <w:r w:rsidRPr="00B5789B">
        <w:t xml:space="preserve"> Provide links to online resources for further information, including the national disaster resilience strategy, recovery toolkit, and community response plans.</w:t>
      </w:r>
    </w:p>
    <w:p w14:paraId="5681BD88" w14:textId="77777777" w:rsidR="00B5789B" w:rsidRPr="00B5789B" w:rsidRDefault="00B5789B" w:rsidP="00B5789B">
      <w:pPr>
        <w:jc w:val="both"/>
      </w:pPr>
      <w:r w:rsidRPr="00B5789B">
        <w:rPr>
          <w:b/>
          <w:bCs/>
        </w:rPr>
        <w:t>VII. Conclusion and Wrap-up</w:t>
      </w:r>
    </w:p>
    <w:p w14:paraId="4A50EAEA" w14:textId="77777777" w:rsidR="00B5789B" w:rsidRPr="00B5789B" w:rsidRDefault="00B5789B" w:rsidP="00B5789B">
      <w:pPr>
        <w:numPr>
          <w:ilvl w:val="0"/>
          <w:numId w:val="22"/>
        </w:numPr>
        <w:jc w:val="both"/>
      </w:pPr>
      <w:r w:rsidRPr="00B5789B">
        <w:rPr>
          <w:b/>
          <w:bCs/>
        </w:rPr>
        <w:t>Key Takeaways:</w:t>
      </w:r>
      <w:r w:rsidRPr="00B5789B">
        <w:t xml:space="preserve"> Review the most critical points of the workshop.</w:t>
      </w:r>
    </w:p>
    <w:p w14:paraId="1D50EB0D" w14:textId="77777777" w:rsidR="00B5789B" w:rsidRPr="00B5789B" w:rsidRDefault="00B5789B" w:rsidP="00B5789B">
      <w:pPr>
        <w:numPr>
          <w:ilvl w:val="0"/>
          <w:numId w:val="22"/>
        </w:numPr>
        <w:jc w:val="both"/>
      </w:pPr>
      <w:r w:rsidRPr="00B5789B">
        <w:rPr>
          <w:b/>
          <w:bCs/>
        </w:rPr>
        <w:t>Action Plans:</w:t>
      </w:r>
      <w:r w:rsidRPr="00B5789B">
        <w:t xml:space="preserve"> Encourage participants to develop and implement their farm emergency plans.</w:t>
      </w:r>
    </w:p>
    <w:p w14:paraId="4456159C" w14:textId="77777777" w:rsidR="00B5789B" w:rsidRPr="00B5789B" w:rsidRDefault="00B5789B" w:rsidP="00B5789B">
      <w:pPr>
        <w:numPr>
          <w:ilvl w:val="0"/>
          <w:numId w:val="22"/>
        </w:numPr>
        <w:jc w:val="both"/>
      </w:pPr>
      <w:r w:rsidRPr="00B5789B">
        <w:rPr>
          <w:b/>
          <w:bCs/>
        </w:rPr>
        <w:t>Q&amp;A:</w:t>
      </w:r>
      <w:r w:rsidRPr="00B5789B">
        <w:t xml:space="preserve"> Answer any final questions.</w:t>
      </w:r>
    </w:p>
    <w:p w14:paraId="65716CE9" w14:textId="77777777" w:rsidR="00B5789B" w:rsidRDefault="00B5789B" w:rsidP="00E72EC1">
      <w:pPr>
        <w:jc w:val="both"/>
      </w:pPr>
    </w:p>
    <w:sectPr w:rsidR="00B57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Neulis Alt">
    <w:panose1 w:val="000008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737"/>
    <w:multiLevelType w:val="multilevel"/>
    <w:tmpl w:val="9DE87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2451"/>
    <w:multiLevelType w:val="multilevel"/>
    <w:tmpl w:val="F3C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2618"/>
    <w:multiLevelType w:val="multilevel"/>
    <w:tmpl w:val="275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47E60"/>
    <w:multiLevelType w:val="multilevel"/>
    <w:tmpl w:val="D7BA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06877"/>
    <w:multiLevelType w:val="multilevel"/>
    <w:tmpl w:val="B152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A61D5"/>
    <w:multiLevelType w:val="multilevel"/>
    <w:tmpl w:val="D93A146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E311D"/>
    <w:multiLevelType w:val="multilevel"/>
    <w:tmpl w:val="6E60D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7228E"/>
    <w:multiLevelType w:val="multilevel"/>
    <w:tmpl w:val="B152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20230"/>
    <w:multiLevelType w:val="multilevel"/>
    <w:tmpl w:val="566A8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E3D88"/>
    <w:multiLevelType w:val="multilevel"/>
    <w:tmpl w:val="83108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A1B54"/>
    <w:multiLevelType w:val="multilevel"/>
    <w:tmpl w:val="1E82C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A2A95"/>
    <w:multiLevelType w:val="multilevel"/>
    <w:tmpl w:val="6E60D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B7CD0"/>
    <w:multiLevelType w:val="multilevel"/>
    <w:tmpl w:val="046E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948A0"/>
    <w:multiLevelType w:val="multilevel"/>
    <w:tmpl w:val="C6484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9532D"/>
    <w:multiLevelType w:val="multilevel"/>
    <w:tmpl w:val="43C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E428F"/>
    <w:multiLevelType w:val="multilevel"/>
    <w:tmpl w:val="673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72004">
    <w:abstractNumId w:val="9"/>
  </w:num>
  <w:num w:numId="2" w16cid:durableId="1657372565">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946932927">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288318354">
    <w:abstractNumId w:val="8"/>
  </w:num>
  <w:num w:numId="5" w16cid:durableId="104009992">
    <w:abstractNumId w:val="4"/>
  </w:num>
  <w:num w:numId="6" w16cid:durableId="1438451941">
    <w:abstractNumId w:val="2"/>
  </w:num>
  <w:num w:numId="7" w16cid:durableId="1171718959">
    <w:abstractNumId w:val="13"/>
  </w:num>
  <w:num w:numId="8" w16cid:durableId="1542281810">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260718193">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977304482">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555818537">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1776242075">
    <w:abstractNumId w:val="5"/>
  </w:num>
  <w:num w:numId="13" w16cid:durableId="1526094201">
    <w:abstractNumId w:val="7"/>
  </w:num>
  <w:num w:numId="14" w16cid:durableId="1681348961">
    <w:abstractNumId w:val="11"/>
  </w:num>
  <w:num w:numId="15" w16cid:durableId="1330795386">
    <w:abstractNumId w:val="6"/>
  </w:num>
  <w:num w:numId="16" w16cid:durableId="441846350">
    <w:abstractNumId w:val="1"/>
  </w:num>
  <w:num w:numId="17" w16cid:durableId="825514178">
    <w:abstractNumId w:val="0"/>
  </w:num>
  <w:num w:numId="18" w16cid:durableId="193081976">
    <w:abstractNumId w:val="10"/>
  </w:num>
  <w:num w:numId="19" w16cid:durableId="690493928">
    <w:abstractNumId w:val="12"/>
  </w:num>
  <w:num w:numId="20" w16cid:durableId="1257517415">
    <w:abstractNumId w:val="3"/>
  </w:num>
  <w:num w:numId="21" w16cid:durableId="1740129777">
    <w:abstractNumId w:val="15"/>
  </w:num>
  <w:num w:numId="22" w16cid:durableId="1532303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26"/>
    <w:rsid w:val="0000559F"/>
    <w:rsid w:val="002E65FB"/>
    <w:rsid w:val="0042726C"/>
    <w:rsid w:val="004C1989"/>
    <w:rsid w:val="00755F49"/>
    <w:rsid w:val="007F0430"/>
    <w:rsid w:val="00B10C26"/>
    <w:rsid w:val="00B51849"/>
    <w:rsid w:val="00B5789B"/>
    <w:rsid w:val="00BE0180"/>
    <w:rsid w:val="00C132F3"/>
    <w:rsid w:val="00C81707"/>
    <w:rsid w:val="00D02555"/>
    <w:rsid w:val="00E72EC1"/>
    <w:rsid w:val="00ED722E"/>
  </w:rsids>
  <m:mathPr>
    <m:mathFont m:val="Cambria Math"/>
    <m:brkBin m:val="before"/>
    <m:brkBinSub m:val="--"/>
    <m:smallFrac m:val="0"/>
    <m:dispDef/>
    <m:lMargin m:val="0"/>
    <m:rMargin m:val="0"/>
    <m:defJc m:val="centerGroup"/>
    <m:wrapIndent m:val="1440"/>
    <m:intLim m:val="subSup"/>
    <m:naryLim m:val="undOvr"/>
  </m:mathPr>
  <w:themeFontLang w:val="en-NZ" w:bidi="as-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F3F753"/>
  <w15:chartTrackingRefBased/>
  <w15:docId w15:val="{3D537150-3920-4322-B569-7284430F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NZ" w:eastAsia="en-US" w:bidi="as-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10C2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10C2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10C2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10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2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10C2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10C2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10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26"/>
    <w:rPr>
      <w:rFonts w:eastAsiaTheme="majorEastAsia" w:cstheme="majorBidi"/>
      <w:color w:val="272727" w:themeColor="text1" w:themeTint="D8"/>
    </w:rPr>
  </w:style>
  <w:style w:type="paragraph" w:styleId="Title">
    <w:name w:val="Title"/>
    <w:basedOn w:val="Normal"/>
    <w:next w:val="Normal"/>
    <w:link w:val="TitleChar"/>
    <w:uiPriority w:val="10"/>
    <w:qFormat/>
    <w:rsid w:val="00B10C2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10C2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10C2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10C2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10C26"/>
    <w:pPr>
      <w:spacing w:before="160"/>
      <w:jc w:val="center"/>
    </w:pPr>
    <w:rPr>
      <w:i/>
      <w:iCs/>
      <w:color w:val="404040" w:themeColor="text1" w:themeTint="BF"/>
    </w:rPr>
  </w:style>
  <w:style w:type="character" w:customStyle="1" w:styleId="QuoteChar">
    <w:name w:val="Quote Char"/>
    <w:basedOn w:val="DefaultParagraphFont"/>
    <w:link w:val="Quote"/>
    <w:uiPriority w:val="29"/>
    <w:rsid w:val="00B10C26"/>
    <w:rPr>
      <w:rFonts w:cs="Vrinda"/>
      <w:i/>
      <w:iCs/>
      <w:color w:val="404040" w:themeColor="text1" w:themeTint="BF"/>
    </w:rPr>
  </w:style>
  <w:style w:type="paragraph" w:styleId="ListParagraph">
    <w:name w:val="List Paragraph"/>
    <w:basedOn w:val="Normal"/>
    <w:uiPriority w:val="34"/>
    <w:qFormat/>
    <w:rsid w:val="00B10C26"/>
    <w:pPr>
      <w:ind w:left="720"/>
      <w:contextualSpacing/>
    </w:pPr>
  </w:style>
  <w:style w:type="character" w:styleId="IntenseEmphasis">
    <w:name w:val="Intense Emphasis"/>
    <w:basedOn w:val="DefaultParagraphFont"/>
    <w:uiPriority w:val="21"/>
    <w:qFormat/>
    <w:rsid w:val="00B10C26"/>
    <w:rPr>
      <w:i/>
      <w:iCs/>
      <w:color w:val="0F4761" w:themeColor="accent1" w:themeShade="BF"/>
    </w:rPr>
  </w:style>
  <w:style w:type="paragraph" w:styleId="IntenseQuote">
    <w:name w:val="Intense Quote"/>
    <w:basedOn w:val="Normal"/>
    <w:next w:val="Normal"/>
    <w:link w:val="IntenseQuoteChar"/>
    <w:uiPriority w:val="30"/>
    <w:qFormat/>
    <w:rsid w:val="00B10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C26"/>
    <w:rPr>
      <w:rFonts w:cs="Vrinda"/>
      <w:i/>
      <w:iCs/>
      <w:color w:val="0F4761" w:themeColor="accent1" w:themeShade="BF"/>
    </w:rPr>
  </w:style>
  <w:style w:type="character" w:styleId="IntenseReference">
    <w:name w:val="Intense Reference"/>
    <w:basedOn w:val="DefaultParagraphFont"/>
    <w:uiPriority w:val="32"/>
    <w:qFormat/>
    <w:rsid w:val="00B10C26"/>
    <w:rPr>
      <w:b/>
      <w:bCs/>
      <w:smallCaps/>
      <w:color w:val="0F4761" w:themeColor="accent1" w:themeShade="BF"/>
      <w:spacing w:val="5"/>
    </w:rPr>
  </w:style>
  <w:style w:type="table" w:styleId="TableGrid">
    <w:name w:val="Table Grid"/>
    <w:basedOn w:val="TableNormal"/>
    <w:uiPriority w:val="39"/>
    <w:rsid w:val="00B1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0432">
      <w:bodyDiv w:val="1"/>
      <w:marLeft w:val="0"/>
      <w:marRight w:val="0"/>
      <w:marTop w:val="0"/>
      <w:marBottom w:val="0"/>
      <w:divBdr>
        <w:top w:val="none" w:sz="0" w:space="0" w:color="auto"/>
        <w:left w:val="none" w:sz="0" w:space="0" w:color="auto"/>
        <w:bottom w:val="none" w:sz="0" w:space="0" w:color="auto"/>
        <w:right w:val="none" w:sz="0" w:space="0" w:color="auto"/>
      </w:divBdr>
      <w:divsChild>
        <w:div w:id="2008315706">
          <w:marLeft w:val="0"/>
          <w:marRight w:val="0"/>
          <w:marTop w:val="0"/>
          <w:marBottom w:val="0"/>
          <w:divBdr>
            <w:top w:val="none" w:sz="0" w:space="0" w:color="242424"/>
            <w:left w:val="none" w:sz="0" w:space="0" w:color="242424"/>
            <w:bottom w:val="none" w:sz="0" w:space="0" w:color="242424"/>
            <w:right w:val="none" w:sz="0" w:space="0" w:color="242424"/>
          </w:divBdr>
        </w:div>
      </w:divsChild>
    </w:div>
    <w:div w:id="837766241">
      <w:bodyDiv w:val="1"/>
      <w:marLeft w:val="0"/>
      <w:marRight w:val="0"/>
      <w:marTop w:val="0"/>
      <w:marBottom w:val="0"/>
      <w:divBdr>
        <w:top w:val="none" w:sz="0" w:space="0" w:color="auto"/>
        <w:left w:val="none" w:sz="0" w:space="0" w:color="auto"/>
        <w:bottom w:val="none" w:sz="0" w:space="0" w:color="auto"/>
        <w:right w:val="none" w:sz="0" w:space="0" w:color="auto"/>
      </w:divBdr>
      <w:divsChild>
        <w:div w:id="1326279125">
          <w:marLeft w:val="0"/>
          <w:marRight w:val="0"/>
          <w:marTop w:val="0"/>
          <w:marBottom w:val="0"/>
          <w:divBdr>
            <w:top w:val="none" w:sz="0" w:space="0" w:color="242424"/>
            <w:left w:val="none" w:sz="0" w:space="0" w:color="242424"/>
            <w:bottom w:val="none" w:sz="0" w:space="0" w:color="242424"/>
            <w:right w:val="none" w:sz="0" w:space="0" w:color="242424"/>
          </w:divBdr>
        </w:div>
      </w:divsChild>
    </w:div>
    <w:div w:id="1249577084">
      <w:bodyDiv w:val="1"/>
      <w:marLeft w:val="0"/>
      <w:marRight w:val="0"/>
      <w:marTop w:val="0"/>
      <w:marBottom w:val="0"/>
      <w:divBdr>
        <w:top w:val="none" w:sz="0" w:space="0" w:color="auto"/>
        <w:left w:val="none" w:sz="0" w:space="0" w:color="auto"/>
        <w:bottom w:val="none" w:sz="0" w:space="0" w:color="auto"/>
        <w:right w:val="none" w:sz="0" w:space="0" w:color="auto"/>
      </w:divBdr>
    </w:div>
    <w:div w:id="1261837412">
      <w:bodyDiv w:val="1"/>
      <w:marLeft w:val="0"/>
      <w:marRight w:val="0"/>
      <w:marTop w:val="0"/>
      <w:marBottom w:val="0"/>
      <w:divBdr>
        <w:top w:val="none" w:sz="0" w:space="0" w:color="auto"/>
        <w:left w:val="none" w:sz="0" w:space="0" w:color="auto"/>
        <w:bottom w:val="none" w:sz="0" w:space="0" w:color="auto"/>
        <w:right w:val="none" w:sz="0" w:space="0" w:color="auto"/>
      </w:divBdr>
    </w:div>
    <w:div w:id="13102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313248740BE49B188B9696DDE6CC3" ma:contentTypeVersion="16" ma:contentTypeDescription="Create a new document." ma:contentTypeScope="" ma:versionID="65add630d5003d18edd25a548d13a70b">
  <xsd:schema xmlns:xsd="http://www.w3.org/2001/XMLSchema" xmlns:xs="http://www.w3.org/2001/XMLSchema" xmlns:p="http://schemas.microsoft.com/office/2006/metadata/properties" xmlns:ns2="3338ee56-d88b-48b0-8d33-d314828f492c" xmlns:ns3="4a58310d-a430-4ce2-96cd-68dfee0466fe" targetNamespace="http://schemas.microsoft.com/office/2006/metadata/properties" ma:root="true" ma:fieldsID="438d4151873b38edf8d8b5a40ee194df" ns2:_="" ns3:_="">
    <xsd:import namespace="3338ee56-d88b-48b0-8d33-d314828f492c"/>
    <xsd:import namespace="4a58310d-a430-4ce2-96cd-68dfee0466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8ee56-d88b-48b0-8d33-d314828f4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f109-0dcc-4290-bd1b-57483dbec53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8310d-a430-4ce2-96cd-68dfee0466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1235d-f7f1-48a2-bf11-b21fc64de8d2}" ma:internalName="TaxCatchAll" ma:showField="CatchAllData" ma:web="4a58310d-a430-4ce2-96cd-68dfee0466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38ee56-d88b-48b0-8d33-d314828f492c">
      <Terms xmlns="http://schemas.microsoft.com/office/infopath/2007/PartnerControls"/>
    </lcf76f155ced4ddcb4097134ff3c332f>
    <TaxCatchAll xmlns="4a58310d-a430-4ce2-96cd-68dfee0466fe" xsi:nil="true"/>
  </documentManagement>
</p:properties>
</file>

<file path=customXml/itemProps1.xml><?xml version="1.0" encoding="utf-8"?>
<ds:datastoreItem xmlns:ds="http://schemas.openxmlformats.org/officeDocument/2006/customXml" ds:itemID="{0C2BC830-CC8E-4BEC-8671-87828245AE63}"/>
</file>

<file path=customXml/itemProps2.xml><?xml version="1.0" encoding="utf-8"?>
<ds:datastoreItem xmlns:ds="http://schemas.openxmlformats.org/officeDocument/2006/customXml" ds:itemID="{A4CA86E2-310B-4668-9DF3-B7702F030414}"/>
</file>

<file path=customXml/itemProps3.xml><?xml version="1.0" encoding="utf-8"?>
<ds:datastoreItem xmlns:ds="http://schemas.openxmlformats.org/officeDocument/2006/customXml" ds:itemID="{9E767BB6-CFA9-4125-8817-31AB6D7D7E9E}"/>
</file>

<file path=docProps/app.xml><?xml version="1.0" encoding="utf-8"?>
<Properties xmlns="http://schemas.openxmlformats.org/officeDocument/2006/extended-properties" xmlns:vt="http://schemas.openxmlformats.org/officeDocument/2006/docPropsVTypes">
  <Template>Normal</Template>
  <TotalTime>2</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Turner</dc:creator>
  <cp:keywords/>
  <dc:description/>
  <cp:lastModifiedBy>Paul Turner</cp:lastModifiedBy>
  <cp:revision>3</cp:revision>
  <dcterms:created xsi:type="dcterms:W3CDTF">2025-05-28T01:13:00Z</dcterms:created>
  <dcterms:modified xsi:type="dcterms:W3CDTF">2025-05-28T01:14:00Z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0x010100507313248740BE49B188B9696DDE6CC3</vt:lpwstr>
  </property>
</Properties>
</file>